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E2FF" w14:textId="5FCC9E9C" w:rsidR="007956D5" w:rsidRDefault="007956D5"/>
    <w:p w14:paraId="053310BC" w14:textId="77777777" w:rsidR="00EE579D" w:rsidRPr="00EE579D" w:rsidRDefault="00EE579D" w:rsidP="00EE579D">
      <w:pPr>
        <w:pStyle w:val="MAIN-TITLE"/>
        <w:spacing w:afterLines="100" w:after="240"/>
        <w:rPr>
          <w:sz w:val="22"/>
          <w:szCs w:val="22"/>
        </w:rPr>
      </w:pPr>
      <w:r w:rsidRPr="00EE579D">
        <w:rPr>
          <w:sz w:val="22"/>
          <w:szCs w:val="22"/>
        </w:rPr>
        <w:t>IEC System for certification to standards relating to equipment for use in Explosive Atmospheres (IECEx System)</w:t>
      </w:r>
    </w:p>
    <w:p w14:paraId="1315BB8A" w14:textId="77777777" w:rsidR="00EE579D" w:rsidRPr="00EE579D" w:rsidRDefault="00EE579D" w:rsidP="00EE579D">
      <w:pPr>
        <w:pStyle w:val="MAIN-TITLE"/>
        <w:rPr>
          <w:sz w:val="22"/>
          <w:szCs w:val="22"/>
        </w:rPr>
      </w:pPr>
      <w:r w:rsidRPr="00EE579D">
        <w:rPr>
          <w:sz w:val="22"/>
          <w:szCs w:val="22"/>
        </w:rPr>
        <w:t>C</w:t>
      </w:r>
      <w:r w:rsidRPr="00EE579D">
        <w:rPr>
          <w:rFonts w:hint="eastAsia"/>
          <w:sz w:val="22"/>
          <w:szCs w:val="22"/>
        </w:rPr>
        <w:t>ollection</w:t>
      </w:r>
      <w:r w:rsidRPr="00EE579D">
        <w:rPr>
          <w:sz w:val="22"/>
          <w:szCs w:val="22"/>
        </w:rPr>
        <w:t xml:space="preserve"> </w:t>
      </w:r>
      <w:r w:rsidRPr="00EE579D">
        <w:rPr>
          <w:rFonts w:hint="eastAsia"/>
          <w:sz w:val="22"/>
          <w:szCs w:val="22"/>
        </w:rPr>
        <w:t>of</w:t>
      </w:r>
      <w:r w:rsidRPr="00EE579D">
        <w:rPr>
          <w:sz w:val="22"/>
          <w:szCs w:val="22"/>
        </w:rPr>
        <w:t xml:space="preserve"> IECEx / </w:t>
      </w:r>
      <w:proofErr w:type="spellStart"/>
      <w:r w:rsidRPr="00EE579D">
        <w:rPr>
          <w:sz w:val="22"/>
          <w:szCs w:val="22"/>
        </w:rPr>
        <w:t>ExTAG</w:t>
      </w:r>
      <w:proofErr w:type="spellEnd"/>
      <w:r w:rsidRPr="00EE579D">
        <w:rPr>
          <w:sz w:val="22"/>
          <w:szCs w:val="22"/>
        </w:rPr>
        <w:t xml:space="preserve"> D</w:t>
      </w:r>
      <w:r w:rsidRPr="00EE579D">
        <w:rPr>
          <w:rFonts w:hint="eastAsia"/>
          <w:sz w:val="22"/>
          <w:szCs w:val="22"/>
        </w:rPr>
        <w:t>ecision</w:t>
      </w:r>
      <w:r w:rsidRPr="00EE579D">
        <w:rPr>
          <w:sz w:val="22"/>
          <w:szCs w:val="22"/>
        </w:rPr>
        <w:t>, F-014</w:t>
      </w:r>
    </w:p>
    <w:p w14:paraId="43C85C4C" w14:textId="77777777" w:rsidR="00EE579D" w:rsidRDefault="00EE579D" w:rsidP="00EE5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637"/>
      </w:tblGrid>
      <w:tr w:rsidR="00EE579D" w14:paraId="05693FDA" w14:textId="77777777" w:rsidTr="00966AAC">
        <w:trPr>
          <w:trHeight w:val="1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AE2A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Standard:</w:t>
            </w:r>
          </w:p>
          <w:p w14:paraId="54EB8A4D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ISO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 80079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-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36:2016 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Ed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.1.0</w:t>
            </w:r>
          </w:p>
          <w:p w14:paraId="6B258E5A" w14:textId="77777777" w:rsidR="00EE579D" w:rsidRPr="0000701A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ISO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 80079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-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37:2016 Ed.1.0</w:t>
            </w:r>
          </w:p>
          <w:p w14:paraId="1AD2FF7E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IEC 60079-0: 2011 Ed.6.0</w:t>
            </w:r>
          </w:p>
          <w:p w14:paraId="2BA054B9" w14:textId="77777777" w:rsidR="00EE579D" w:rsidRPr="00F25924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60079-0: 2017 Ed.7.0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0FC7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sz w:val="20"/>
                <w:lang w:val="it-IT"/>
              </w:rPr>
              <w:t>Clause</w:t>
            </w:r>
            <w:r>
              <w:rPr>
                <w:b w:val="0"/>
                <w:bCs w:val="0"/>
                <w:sz w:val="20"/>
              </w:rPr>
              <w:t xml:space="preserve">:  </w:t>
            </w:r>
          </w:p>
          <w:p w14:paraId="486D2593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Chapter 1</w:t>
            </w:r>
          </w:p>
          <w:p w14:paraId="1E4761E7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Chapter 1</w:t>
            </w:r>
          </w:p>
          <w:p w14:paraId="3383AB2B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All relevant</w:t>
            </w:r>
          </w:p>
          <w:p w14:paraId="5D4A58B3" w14:textId="77777777" w:rsidR="00EE579D" w:rsidRPr="00CA5FC9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All relevant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C131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EB1711">
              <w:rPr>
                <w:sz w:val="20"/>
                <w:lang w:val="it-IT"/>
              </w:rPr>
              <w:t>Date</w:t>
            </w:r>
            <w:r>
              <w:rPr>
                <w:b w:val="0"/>
                <w:sz w:val="20"/>
              </w:rPr>
              <w:t>:</w:t>
            </w:r>
          </w:p>
          <w:p w14:paraId="2AB53970" w14:textId="5EBA115B" w:rsidR="00EE579D" w:rsidRPr="00CA5FC9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2024 09 </w:t>
            </w:r>
          </w:p>
        </w:tc>
      </w:tr>
      <w:tr w:rsidR="00EE579D" w14:paraId="28B3786B" w14:textId="77777777" w:rsidTr="00966AAC">
        <w:trPr>
          <w:trHeight w:val="9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35095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lang w:eastAsia="zh-CN"/>
              </w:rPr>
            </w:pPr>
            <w:r w:rsidRPr="00EB1711">
              <w:rPr>
                <w:sz w:val="20"/>
                <w:lang w:val="it-IT"/>
              </w:rPr>
              <w:t>Subject</w:t>
            </w:r>
            <w:r>
              <w:rPr>
                <w:b w:val="0"/>
                <w:bCs w:val="0"/>
                <w:sz w:val="20"/>
                <w:lang w:eastAsia="zh-CN"/>
              </w:rPr>
              <w:t>:</w:t>
            </w:r>
          </w:p>
          <w:p w14:paraId="2CF73B6C" w14:textId="77777777" w:rsidR="00EE579D" w:rsidRPr="0000701A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bCs w:val="0"/>
                <w:sz w:val="20"/>
                <w:lang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Applicability of IEC 60079-0 for non-electrical equipment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AF692A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Key </w:t>
            </w:r>
            <w:r w:rsidRPr="00EB1711">
              <w:rPr>
                <w:sz w:val="20"/>
                <w:lang w:val="it-IT"/>
              </w:rPr>
              <w:t>words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1B623C50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- </w:t>
            </w:r>
            <w:r w:rsidRPr="00CA5FC9">
              <w:rPr>
                <w:rFonts w:eastAsia="DengXian"/>
                <w:b w:val="0"/>
                <w:sz w:val="20"/>
                <w:lang w:val="it-IT" w:eastAsia="zh-CN"/>
              </w:rPr>
              <w:t>Applicability</w:t>
            </w:r>
          </w:p>
          <w:p w14:paraId="22B08A8D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- </w:t>
            </w:r>
            <w:r w:rsidRPr="00CA5FC9">
              <w:rPr>
                <w:rFonts w:eastAsia="DengXian"/>
                <w:b w:val="0"/>
                <w:sz w:val="20"/>
                <w:lang w:val="it-IT" w:eastAsia="zh-CN"/>
              </w:rPr>
              <w:t>IEC 60079-0</w:t>
            </w:r>
          </w:p>
          <w:p w14:paraId="69C0139E" w14:textId="77777777" w:rsidR="00EE579D" w:rsidRPr="009052A7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Cs w:val="0"/>
                <w:sz w:val="20"/>
                <w:lang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- Non-electrical equipment</w:t>
            </w:r>
          </w:p>
          <w:p w14:paraId="08BD90C8" w14:textId="77777777" w:rsidR="00EE579D" w:rsidRPr="00F25924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Cs w:val="0"/>
                <w:sz w:val="20"/>
                <w:lang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- Testing and assessment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036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sz w:val="20"/>
              </w:rPr>
            </w:pPr>
            <w:r w:rsidRPr="00EB1711">
              <w:rPr>
                <w:sz w:val="20"/>
                <w:lang w:val="it-IT"/>
              </w:rPr>
              <w:t>Originator</w:t>
            </w:r>
            <w:r w:rsidRPr="00BB2373">
              <w:rPr>
                <w:sz w:val="20"/>
                <w:lang w:val="it-IT"/>
              </w:rPr>
              <w:t xml:space="preserve"> of proposal: </w:t>
            </w:r>
          </w:p>
          <w:p w14:paraId="1242D35E" w14:textId="77777777" w:rsidR="00EE579D" w:rsidRPr="00F25924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sz w:val="20"/>
                <w:lang w:eastAsia="zh-CN"/>
              </w:rPr>
            </w:pPr>
            <w:r w:rsidRPr="00CA5FC9">
              <w:rPr>
                <w:rFonts w:eastAsia="DengXian" w:hint="eastAsia"/>
                <w:b w:val="0"/>
                <w:sz w:val="20"/>
                <w:lang w:val="it-IT" w:eastAsia="zh-CN"/>
              </w:rPr>
              <w:t>NEPSI CN</w:t>
            </w:r>
          </w:p>
        </w:tc>
      </w:tr>
      <w:tr w:rsidR="00EE579D" w14:paraId="746BF7CD" w14:textId="77777777" w:rsidTr="00966AAC">
        <w:trPr>
          <w:trHeight w:val="7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F6E5A" w14:textId="77777777" w:rsidR="00EE579D" w:rsidRPr="00EB1711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Status </w:t>
            </w:r>
            <w:r w:rsidRPr="00EB1711">
              <w:rPr>
                <w:sz w:val="20"/>
                <w:lang w:val="it-IT"/>
              </w:rPr>
              <w:t>of</w:t>
            </w:r>
            <w:r w:rsidRPr="00EB1711">
              <w:rPr>
                <w:bCs w:val="0"/>
                <w:sz w:val="20"/>
              </w:rPr>
              <w:t xml:space="preserve"> document: </w:t>
            </w:r>
          </w:p>
          <w:p w14:paraId="38D91F21" w14:textId="3E1FCAE7" w:rsidR="00EE579D" w:rsidRPr="00212B4A" w:rsidRDefault="00EE579D" w:rsidP="00966AAC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Approved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3CF" w14:textId="77777777" w:rsidR="00EE579D" w:rsidRDefault="00EE579D" w:rsidP="00966AAC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FB3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BB2373">
              <w:rPr>
                <w:sz w:val="20"/>
                <w:lang w:val="it-IT"/>
              </w:rPr>
              <w:t>TC/SC involved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  <w:p w14:paraId="687BE779" w14:textId="77777777" w:rsidR="00EE579D" w:rsidRPr="00CC55E6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sz w:val="20"/>
                <w:lang w:eastAsia="zh-CN"/>
              </w:rPr>
              <w:t>TC</w:t>
            </w: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31/</w:t>
            </w:r>
            <w:r>
              <w:rPr>
                <w:rFonts w:eastAsiaTheme="minorEastAsia" w:hint="eastAsia"/>
                <w:b w:val="0"/>
                <w:bCs w:val="0"/>
                <w:sz w:val="20"/>
                <w:lang w:eastAsia="zh-CN"/>
              </w:rPr>
              <w:t xml:space="preserve">WG22 and </w:t>
            </w: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SC31M/WG1</w:t>
            </w:r>
          </w:p>
        </w:tc>
      </w:tr>
      <w:tr w:rsidR="00EE579D" w14:paraId="0C0D17B4" w14:textId="77777777" w:rsidTr="00966AAC">
        <w:trPr>
          <w:trHeight w:val="139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46C" w14:textId="77777777" w:rsidR="00EE579D" w:rsidRPr="0000701A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</w:pPr>
            <w:r>
              <w:br w:type="page"/>
            </w:r>
            <w:r w:rsidRPr="00212B4A">
              <w:rPr>
                <w:bCs w:val="0"/>
                <w:sz w:val="20"/>
                <w:u w:val="single"/>
              </w:rPr>
              <w:t>Background</w:t>
            </w:r>
            <w:r w:rsidRPr="0000701A">
              <w:rPr>
                <w:rFonts w:eastAsia="DengXian" w:cs="Arial" w:hint="eastAsia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5E95444D" w14:textId="77777777" w:rsidR="00EE579D" w:rsidRDefault="00EE579D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 w:rsidRPr="007D48B7">
              <w:rPr>
                <w:rFonts w:ascii="Arial" w:hAnsi="Arial"/>
                <w:sz w:val="20"/>
                <w:szCs w:val="20"/>
              </w:rPr>
              <w:t>S</w:t>
            </w:r>
            <w:r w:rsidRPr="00062FC4">
              <w:rPr>
                <w:rFonts w:ascii="Arial" w:hAnsi="Arial"/>
                <w:sz w:val="20"/>
                <w:szCs w:val="20"/>
              </w:rPr>
              <w:t>in</w:t>
            </w:r>
            <w:r>
              <w:rPr>
                <w:rFonts w:ascii="Arial" w:hAnsi="Arial"/>
                <w:sz w:val="20"/>
                <w:szCs w:val="20"/>
              </w:rPr>
              <w:t xml:space="preserve">ce the non-electrical equipment </w:t>
            </w:r>
            <w:r w:rsidRPr="00062FC4">
              <w:rPr>
                <w:rFonts w:ascii="Arial" w:hAnsi="Arial"/>
                <w:sz w:val="20"/>
                <w:szCs w:val="20"/>
              </w:rPr>
              <w:t>intr</w:t>
            </w:r>
            <w:r>
              <w:rPr>
                <w:rFonts w:ascii="Arial" w:hAnsi="Arial"/>
                <w:sz w:val="20"/>
                <w:szCs w:val="20"/>
              </w:rPr>
              <w:t xml:space="preserve">oduced into IECEx certification, </w:t>
            </w:r>
            <w:r w:rsidRPr="00CA5FC9">
              <w:rPr>
                <w:rFonts w:ascii="Arial" w:hAnsi="Arial" w:hint="eastAsia"/>
                <w:sz w:val="20"/>
                <w:szCs w:val="20"/>
              </w:rPr>
              <w:t>t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here </w:t>
            </w:r>
            <w:r>
              <w:rPr>
                <w:rFonts w:ascii="Arial" w:hAnsi="Arial"/>
                <w:sz w:val="20"/>
                <w:szCs w:val="20"/>
              </w:rPr>
              <w:t>have been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about </w:t>
            </w:r>
            <w:r>
              <w:rPr>
                <w:rFonts w:ascii="Arial" w:hAnsi="Arial"/>
                <w:sz w:val="20"/>
                <w:szCs w:val="20"/>
              </w:rPr>
              <w:t>1,000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IECEx C</w:t>
            </w:r>
            <w:r w:rsidRPr="00062FC4">
              <w:rPr>
                <w:rFonts w:ascii="Arial" w:hAnsi="Arial" w:hint="eastAsia"/>
                <w:sz w:val="20"/>
                <w:szCs w:val="20"/>
              </w:rPr>
              <w:t>ertificates issued for non-electrical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or electrical</w:t>
            </w:r>
            <w:r w:rsidRPr="00062FC4">
              <w:rPr>
                <w:rFonts w:ascii="Arial" w:hAnsi="Arial" w:hint="eastAsia"/>
                <w:sz w:val="20"/>
                <w:szCs w:val="20"/>
              </w:rPr>
              <w:t>/non-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electrical </w:t>
            </w:r>
            <w:r>
              <w:rPr>
                <w:rFonts w:ascii="Arial" w:hAnsi="Arial"/>
                <w:sz w:val="20"/>
                <w:szCs w:val="20"/>
              </w:rPr>
              <w:t xml:space="preserve">combined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equipment by more than </w:t>
            </w:r>
            <w:r>
              <w:rPr>
                <w:rFonts w:ascii="Arial" w:hAnsi="Arial"/>
                <w:sz w:val="20"/>
                <w:szCs w:val="20"/>
              </w:rPr>
              <w:t>40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062FC4">
              <w:rPr>
                <w:rFonts w:ascii="Arial" w:hAnsi="Arial"/>
                <w:sz w:val="20"/>
                <w:szCs w:val="20"/>
              </w:rPr>
              <w:t>ExCBs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It was noted that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the reference standards used for issuance of IECEx Certificates </w:t>
            </w:r>
            <w:r>
              <w:rPr>
                <w:rFonts w:ascii="Arial" w:hAnsi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ExTRs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are not </w:t>
            </w:r>
            <w:r>
              <w:rPr>
                <w:rFonts w:ascii="Arial" w:hAnsi="Arial"/>
                <w:sz w:val="20"/>
                <w:szCs w:val="20"/>
              </w:rPr>
              <w:t xml:space="preserve">consistent between </w:t>
            </w:r>
            <w:proofErr w:type="spellStart"/>
            <w:r w:rsidRPr="00062FC4">
              <w:rPr>
                <w:rFonts w:ascii="Arial" w:hAnsi="Arial"/>
                <w:sz w:val="20"/>
                <w:szCs w:val="20"/>
              </w:rPr>
              <w:t>ExCBs</w:t>
            </w:r>
            <w:proofErr w:type="spellEnd"/>
            <w:r w:rsidRPr="00062FC4">
              <w:rPr>
                <w:rFonts w:ascii="Arial" w:hAnsi="Arial"/>
                <w:sz w:val="20"/>
                <w:szCs w:val="20"/>
              </w:rPr>
              <w:t xml:space="preserve">. Some certificates and its corresponding </w:t>
            </w:r>
            <w:proofErr w:type="spellStart"/>
            <w:r w:rsidRPr="00062FC4">
              <w:rPr>
                <w:rFonts w:ascii="Arial" w:hAnsi="Arial"/>
                <w:sz w:val="20"/>
                <w:szCs w:val="20"/>
              </w:rPr>
              <w:t>ExTRs</w:t>
            </w:r>
            <w:proofErr w:type="spellEnd"/>
            <w:r w:rsidRPr="00062FC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in</w:t>
            </w:r>
            <w:r w:rsidRPr="00912B4F">
              <w:rPr>
                <w:rFonts w:ascii="Arial" w:hAnsi="Arial"/>
                <w:sz w:val="20"/>
                <w:szCs w:val="20"/>
              </w:rPr>
              <w:t>dicated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compliance </w:t>
            </w:r>
            <w:r>
              <w:rPr>
                <w:rFonts w:ascii="Arial" w:hAnsi="Arial"/>
                <w:sz w:val="20"/>
                <w:szCs w:val="20"/>
              </w:rPr>
              <w:t>of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IEC 60079-0, </w:t>
            </w:r>
            <w:r>
              <w:rPr>
                <w:rFonts w:ascii="Arial" w:hAnsi="Arial"/>
                <w:sz w:val="20"/>
                <w:szCs w:val="20"/>
              </w:rPr>
              <w:t>while others did not</w:t>
            </w:r>
            <w:r w:rsidRPr="00062FC4">
              <w:rPr>
                <w:rFonts w:ascii="Arial" w:hAnsi="Arial"/>
                <w:sz w:val="20"/>
                <w:szCs w:val="20"/>
              </w:rPr>
              <w:t>.</w:t>
            </w:r>
          </w:p>
          <w:p w14:paraId="1F6A1B8F" w14:textId="77777777" w:rsidR="00EE579D" w:rsidRDefault="00EE579D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applicability of IEC 60079-0 for non-electrical equipment has been clearly given in Chapter 1 of ISO 80079-36:2016 Ed.1.0:</w:t>
            </w:r>
          </w:p>
          <w:p w14:paraId="44B011C5" w14:textId="77777777" w:rsidR="00EE579D" w:rsidRPr="00062FC4" w:rsidRDefault="00EE579D" w:rsidP="00966AAC">
            <w:pPr>
              <w:adjustRightInd w:val="0"/>
              <w:snapToGrid w:val="0"/>
              <w:spacing w:beforeLines="50" w:before="120" w:afterLines="50" w:after="120"/>
              <w:ind w:leftChars="100" w:left="240"/>
              <w:rPr>
                <w:rFonts w:ascii="Arial" w:hAnsi="Arial"/>
                <w:i/>
                <w:sz w:val="20"/>
                <w:szCs w:val="20"/>
              </w:rPr>
            </w:pPr>
            <w:proofErr w:type="gramStart"/>
            <w:r w:rsidRPr="00062FC4">
              <w:rPr>
                <w:rFonts w:ascii="Arial" w:hAnsi="Arial"/>
                <w:i/>
                <w:sz w:val="20"/>
                <w:szCs w:val="20"/>
              </w:rPr>
              <w:t>This standard supplements</w:t>
            </w:r>
            <w:proofErr w:type="gramEnd"/>
            <w:r w:rsidRPr="00062FC4">
              <w:rPr>
                <w:rFonts w:ascii="Arial" w:hAnsi="Arial"/>
                <w:i/>
                <w:sz w:val="20"/>
                <w:szCs w:val="20"/>
              </w:rPr>
              <w:t xml:space="preserve"> and modifies the general requirements of IEC 60079-0, as shown in Table 1 (Applicability of specific clauses of IEC 60079-0:2011 Ed.6.0). Where a requirement of this standard conflicts with a requirement of IEC 60079-0, as far as applicable for non-electrical equipment, the requirement of this standard takes precedence.</w:t>
            </w:r>
          </w:p>
          <w:p w14:paraId="31A67DB8" w14:textId="77777777" w:rsidR="00EE579D" w:rsidRDefault="00EE579D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Chapter 1 of ISO 80079-37:2016 Ed.1.0 also states its relationship with ISO 8009-36:2016 Ed.1.0 as follows:</w:t>
            </w:r>
          </w:p>
          <w:p w14:paraId="5B31DCCD" w14:textId="77777777" w:rsidR="00EE579D" w:rsidRDefault="00EE579D" w:rsidP="00966AAC">
            <w:pPr>
              <w:adjustRightInd w:val="0"/>
              <w:snapToGrid w:val="0"/>
              <w:spacing w:beforeLines="50" w:before="120" w:afterLines="50" w:after="120"/>
              <w:ind w:leftChars="100" w:left="240"/>
              <w:rPr>
                <w:rFonts w:ascii="Arial" w:hAnsi="Arial"/>
                <w:i/>
                <w:sz w:val="20"/>
                <w:szCs w:val="20"/>
              </w:rPr>
            </w:pPr>
            <w:proofErr w:type="gramStart"/>
            <w:r w:rsidRPr="00B06080">
              <w:rPr>
                <w:rFonts w:ascii="Arial" w:hAnsi="Arial"/>
                <w:i/>
                <w:sz w:val="20"/>
                <w:szCs w:val="20"/>
              </w:rPr>
              <w:t>This standard supplements</w:t>
            </w:r>
            <w:proofErr w:type="gramEnd"/>
            <w:r w:rsidRPr="00B06080">
              <w:rPr>
                <w:rFonts w:ascii="Arial" w:hAnsi="Arial"/>
                <w:i/>
                <w:sz w:val="20"/>
                <w:szCs w:val="20"/>
              </w:rPr>
              <w:t xml:space="preserve"> and modifies the requirements in ISO 80079-36. Where a requirement of this standard conflicts with the requirement of ISO 80079-36 the requirement of this standard takes precedence.</w:t>
            </w:r>
          </w:p>
          <w:p w14:paraId="22F07FF6" w14:textId="77777777" w:rsidR="00EE579D" w:rsidRPr="008D5381" w:rsidRDefault="00EE579D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eastAsiaTheme="minorEastAsia" w:hAnsi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hint="eastAsia"/>
                <w:sz w:val="20"/>
                <w:szCs w:val="20"/>
                <w:lang w:eastAsia="zh-CN"/>
              </w:rPr>
              <w:t xml:space="preserve">In addition, 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even the </w:t>
            </w:r>
            <w:r>
              <w:rPr>
                <w:rFonts w:ascii="Arial" w:eastAsiaTheme="minorEastAsia" w:hAnsi="Arial" w:hint="eastAsia"/>
                <w:sz w:val="20"/>
                <w:szCs w:val="20"/>
                <w:lang w:eastAsia="zh-CN"/>
              </w:rPr>
              <w:t>general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 requirements given in the current edition of </w:t>
            </w:r>
            <w:r w:rsidRPr="008D5381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IEC 60079-0:2017 (Ed.7.0) are also 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>applicable to</w:t>
            </w:r>
            <w:r w:rsidRPr="008D5381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 non-electrical </w:t>
            </w:r>
            <w:r>
              <w:rPr>
                <w:rFonts w:ascii="Arial" w:eastAsiaTheme="minorEastAsia" w:hAnsi="Arial" w:hint="eastAsia"/>
                <w:sz w:val="20"/>
                <w:szCs w:val="20"/>
                <w:lang w:eastAsia="zh-CN"/>
              </w:rPr>
              <w:t>Ex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sz w:val="20"/>
                <w:szCs w:val="20"/>
                <w:lang w:eastAsia="zh-CN"/>
              </w:rPr>
              <w:t>E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quipment and </w:t>
            </w:r>
            <w:r>
              <w:rPr>
                <w:rFonts w:ascii="Arial" w:eastAsiaTheme="minorEastAsia" w:hAnsi="Arial" w:hint="eastAsia"/>
                <w:sz w:val="20"/>
                <w:szCs w:val="20"/>
                <w:lang w:eastAsia="zh-CN"/>
              </w:rPr>
              <w:t>Ex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>ompon</w:t>
            </w:r>
            <w:r w:rsidRPr="008D5381">
              <w:rPr>
                <w:rFonts w:ascii="Arial" w:eastAsiaTheme="minorEastAsia" w:hAnsi="Arial"/>
                <w:sz w:val="20"/>
                <w:szCs w:val="20"/>
                <w:lang w:eastAsia="zh-CN"/>
              </w:rPr>
              <w:t>ents.</w:t>
            </w:r>
          </w:p>
          <w:p w14:paraId="7F69D1E3" w14:textId="77777777" w:rsidR="00EE579D" w:rsidRPr="00062FC4" w:rsidRDefault="00EE579D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 w:rsidRPr="00062FC4">
              <w:rPr>
                <w:rFonts w:ascii="Arial" w:hAnsi="Arial"/>
                <w:sz w:val="20"/>
                <w:szCs w:val="20"/>
              </w:rPr>
              <w:t xml:space="preserve">It </w:t>
            </w:r>
            <w:r>
              <w:rPr>
                <w:rFonts w:ascii="Arial" w:hAnsi="Arial"/>
                <w:sz w:val="20"/>
                <w:szCs w:val="20"/>
              </w:rPr>
              <w:t>seems necessary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to clarify whether </w:t>
            </w:r>
            <w:r w:rsidRPr="00062FC4">
              <w:rPr>
                <w:rFonts w:ascii="Arial" w:hAnsi="Arial" w:hint="eastAsia"/>
                <w:sz w:val="20"/>
                <w:szCs w:val="20"/>
              </w:rPr>
              <w:t>IE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C 60079-0 is </w:t>
            </w:r>
            <w:r>
              <w:rPr>
                <w:rFonts w:ascii="Arial" w:hAnsi="Arial"/>
                <w:sz w:val="20"/>
                <w:szCs w:val="20"/>
              </w:rPr>
              <w:t>required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to be </w:t>
            </w:r>
            <w:r>
              <w:rPr>
                <w:rFonts w:ascii="Arial" w:hAnsi="Arial"/>
                <w:sz w:val="20"/>
                <w:szCs w:val="20"/>
              </w:rPr>
              <w:t>used for testing and assessment of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non-electrical </w:t>
            </w:r>
            <w:r>
              <w:rPr>
                <w:rFonts w:ascii="Arial" w:hAnsi="Arial"/>
                <w:sz w:val="20"/>
                <w:szCs w:val="20"/>
              </w:rPr>
              <w:t xml:space="preserve">Ex </w:t>
            </w:r>
            <w:r w:rsidRPr="00CB4450">
              <w:rPr>
                <w:rFonts w:ascii="Arial" w:hAnsi="Arial" w:hint="eastAsia"/>
                <w:sz w:val="20"/>
                <w:szCs w:val="20"/>
              </w:rPr>
              <w:t>E</w:t>
            </w:r>
            <w:r w:rsidRPr="00062FC4">
              <w:rPr>
                <w:rFonts w:ascii="Arial" w:hAnsi="Arial"/>
                <w:sz w:val="20"/>
                <w:szCs w:val="20"/>
              </w:rPr>
              <w:t>quipment</w:t>
            </w:r>
            <w:r>
              <w:rPr>
                <w:rFonts w:ascii="Arial" w:hAnsi="Arial"/>
                <w:sz w:val="20"/>
                <w:szCs w:val="20"/>
              </w:rPr>
              <w:t xml:space="preserve"> and Ex </w:t>
            </w:r>
            <w:r w:rsidRPr="00CB4450">
              <w:rPr>
                <w:rFonts w:ascii="Arial" w:hAnsi="Arial" w:hint="eastAsia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omponents</w:t>
            </w:r>
            <w:r w:rsidRPr="00062FC4">
              <w:rPr>
                <w:rFonts w:ascii="Arial" w:hAnsi="Arial"/>
                <w:sz w:val="20"/>
                <w:szCs w:val="20"/>
              </w:rPr>
              <w:t>.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  <w:p w14:paraId="19A5E349" w14:textId="77777777" w:rsidR="00EE579D" w:rsidRPr="0000701A" w:rsidRDefault="00EE579D" w:rsidP="00966AAC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  <w:t xml:space="preserve">  </w:t>
            </w:r>
          </w:p>
        </w:tc>
      </w:tr>
      <w:tr w:rsidR="00EE579D" w14:paraId="60A1CD84" w14:textId="77777777" w:rsidTr="00966AAC">
        <w:trPr>
          <w:trHeight w:val="83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FFFF" w14:textId="77777777" w:rsidR="00EE579D" w:rsidRPr="00212B4A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2433CEE7" w14:textId="77777777" w:rsidR="00EE579D" w:rsidRPr="00B272DA" w:rsidRDefault="00EE579D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Is it necessary to show 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IEC </w:t>
            </w:r>
            <w:r w:rsidRPr="00B272DA">
              <w:rPr>
                <w:rFonts w:ascii="Arial" w:hAnsi="Arial"/>
                <w:sz w:val="20"/>
                <w:szCs w:val="20"/>
              </w:rPr>
              <w:t>60079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-0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in the list of standards in an IECEx Certificate of Conformity when issuing IECEx Certificates covering </w:t>
            </w:r>
            <w:proofErr w:type="gramStart"/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non Electrical</w:t>
            </w:r>
            <w:proofErr w:type="gramEnd"/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Ex Equipment and </w:t>
            </w:r>
            <w:proofErr w:type="spellStart"/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non Electrical</w:t>
            </w:r>
            <w:proofErr w:type="spellEnd"/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Ex Components</w:t>
            </w:r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?</w:t>
            </w:r>
          </w:p>
          <w:p w14:paraId="729531BB" w14:textId="77777777" w:rsidR="00EE579D" w:rsidRPr="00AF491B" w:rsidRDefault="00EE579D" w:rsidP="00966AAC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</w:pPr>
          </w:p>
        </w:tc>
      </w:tr>
      <w:tr w:rsidR="00EE579D" w14:paraId="590E866C" w14:textId="77777777" w:rsidTr="00966AAC">
        <w:trPr>
          <w:trHeight w:val="3877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116" w14:textId="77777777" w:rsidR="00EE579D" w:rsidRPr="00212B4A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lastRenderedPageBreak/>
              <w:t>Answer:</w:t>
            </w:r>
          </w:p>
          <w:p w14:paraId="1540248F" w14:textId="77777777" w:rsidR="00EE579D" w:rsidRPr="000F3496" w:rsidRDefault="00EE579D" w:rsidP="00966AAC">
            <w:pPr>
              <w:adjustRightInd w:val="0"/>
              <w:snapToGrid w:val="0"/>
              <w:spacing w:beforeLines="50" w:before="120" w:afterLines="100" w:after="24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Yes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.  Existing CoCs are to be updated to reflect this DS at the next update/revision of the IECEx CoC.</w:t>
            </w:r>
          </w:p>
          <w:p w14:paraId="58C73413" w14:textId="77777777" w:rsidR="00EE579D" w:rsidRPr="0090216C" w:rsidRDefault="00EE579D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</w:p>
          <w:p w14:paraId="6D25AA98" w14:textId="77777777" w:rsidR="00EE579D" w:rsidRPr="0005655F" w:rsidRDefault="00EE579D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eastAsia="zh-CN"/>
              </w:rPr>
            </w:pPr>
          </w:p>
        </w:tc>
      </w:tr>
    </w:tbl>
    <w:p w14:paraId="1D47CB28" w14:textId="77777777" w:rsidR="00EE579D" w:rsidRPr="00281EDD" w:rsidRDefault="00EE579D" w:rsidP="00EE579D">
      <w:pPr>
        <w:rPr>
          <w:rFonts w:ascii="Arial" w:hAnsi="Arial" w:cs="Arial"/>
          <w:b/>
          <w:bCs/>
          <w:spacing w:val="8"/>
          <w:sz w:val="20"/>
          <w:szCs w:val="20"/>
          <w:lang w:val="en-GB" w:eastAsia="zh-CN"/>
        </w:rPr>
      </w:pPr>
    </w:p>
    <w:p w14:paraId="47EDB484" w14:textId="77777777" w:rsidR="00EE579D" w:rsidRDefault="00EE579D"/>
    <w:sectPr w:rsidR="00EE57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E2C9" w14:textId="77777777" w:rsidR="00EE579D" w:rsidRDefault="00EE579D" w:rsidP="00EE579D">
      <w:r>
        <w:separator/>
      </w:r>
    </w:p>
  </w:endnote>
  <w:endnote w:type="continuationSeparator" w:id="0">
    <w:p w14:paraId="11B424CB" w14:textId="77777777" w:rsidR="00EE579D" w:rsidRDefault="00EE579D" w:rsidP="00EE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0819241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6936006" w14:textId="75B1BCFB" w:rsidR="00EE579D" w:rsidRPr="00EE579D" w:rsidRDefault="00EE579D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579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E5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E579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E5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759715" w14:textId="77777777" w:rsidR="00EE579D" w:rsidRDefault="00EE5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4120" w14:textId="77777777" w:rsidR="00EE579D" w:rsidRDefault="00EE579D" w:rsidP="00EE579D">
      <w:r>
        <w:separator/>
      </w:r>
    </w:p>
  </w:footnote>
  <w:footnote w:type="continuationSeparator" w:id="0">
    <w:p w14:paraId="7E21B23E" w14:textId="77777777" w:rsidR="00EE579D" w:rsidRDefault="00EE579D" w:rsidP="00EE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50BA" w14:textId="2B5CFD43" w:rsidR="00EE579D" w:rsidRPr="00EE579D" w:rsidRDefault="00EE579D">
    <w:pPr>
      <w:pStyle w:val="Head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0411A627" wp14:editId="21FE73FB">
          <wp:extent cx="594360" cy="508026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83" cy="508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EE579D">
      <w:rPr>
        <w:rFonts w:ascii="Arial" w:hAnsi="Arial" w:cs="Arial"/>
        <w:b/>
        <w:bCs/>
        <w:sz w:val="20"/>
        <w:szCs w:val="20"/>
      </w:rPr>
      <w:t>DS 2024/002</w:t>
    </w:r>
  </w:p>
  <w:p w14:paraId="1941E1CB" w14:textId="645EE810" w:rsidR="00EE579D" w:rsidRPr="00EE579D" w:rsidRDefault="00EE579D" w:rsidP="00EE579D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EE579D">
      <w:rPr>
        <w:rFonts w:ascii="Arial" w:hAnsi="Arial" w:cs="Arial"/>
        <w:b/>
        <w:bCs/>
        <w:sz w:val="20"/>
        <w:szCs w:val="20"/>
      </w:rPr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D"/>
    <w:rsid w:val="007956D5"/>
    <w:rsid w:val="00E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2E42FD"/>
  <w15:chartTrackingRefBased/>
  <w15:docId w15:val="{0D99B37D-4C50-4BC9-BFBB-B85357FE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E579D"/>
    <w:rPr>
      <w:rFonts w:ascii="Arial" w:hAnsi="Arial"/>
      <w:b/>
      <w:bCs/>
      <w:sz w:val="18"/>
      <w:szCs w:val="20"/>
    </w:rPr>
  </w:style>
  <w:style w:type="character" w:customStyle="1" w:styleId="SubtitleChar">
    <w:name w:val="Subtitle Char"/>
    <w:basedOn w:val="DefaultParagraphFont"/>
    <w:link w:val="Subtitle"/>
    <w:qFormat/>
    <w:rsid w:val="00EE579D"/>
    <w:rPr>
      <w:rFonts w:ascii="Arial" w:eastAsia="Times New Roman" w:hAnsi="Arial" w:cs="Times New Roman"/>
      <w:b/>
      <w:bCs/>
      <w:sz w:val="18"/>
      <w:szCs w:val="20"/>
      <w:lang w:eastAsia="en-US"/>
    </w:rPr>
  </w:style>
  <w:style w:type="paragraph" w:customStyle="1" w:styleId="MAIN-TITLE">
    <w:name w:val="MAIN-TITLE"/>
    <w:basedOn w:val="Normal"/>
    <w:qFormat/>
    <w:rsid w:val="00EE579D"/>
    <w:pPr>
      <w:snapToGrid w:val="0"/>
      <w:jc w:val="center"/>
    </w:pPr>
    <w:rPr>
      <w:rFonts w:ascii="Arial" w:eastAsia="DengXian" w:hAnsi="Arial" w:cs="Arial"/>
      <w:b/>
      <w:bCs/>
      <w:spacing w:val="8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E5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79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5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79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2024-10-22T03:45:00Z</dcterms:created>
  <dcterms:modified xsi:type="dcterms:W3CDTF">2024-10-22T03:53:00Z</dcterms:modified>
</cp:coreProperties>
</file>