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E0B" w:rsidRPr="004B1D40" w:rsidRDefault="00FC3E0B" w:rsidP="004B1D40">
      <w:pPr>
        <w:pStyle w:val="Heading2"/>
      </w:pPr>
      <w:bookmarkStart w:id="0" w:name="_Toc278460636"/>
    </w:p>
    <w:p w:rsidR="0023418A" w:rsidRPr="0023418A" w:rsidRDefault="0023418A" w:rsidP="0023418A">
      <w:pPr>
        <w:pStyle w:val="Heading2"/>
        <w:jc w:val="center"/>
        <w:rPr>
          <w:sz w:val="28"/>
          <w:lang w:val="en-GB"/>
        </w:rPr>
      </w:pPr>
      <w:r w:rsidRPr="0023418A">
        <w:rPr>
          <w:sz w:val="28"/>
          <w:lang w:val="en-GB"/>
        </w:rPr>
        <w:t>ExNB</w:t>
      </w:r>
      <w:r w:rsidR="00DB1114">
        <w:rPr>
          <w:sz w:val="28"/>
          <w:lang w:val="en-GB"/>
        </w:rPr>
        <w:t>G</w:t>
      </w:r>
      <w:r w:rsidRPr="0023418A">
        <w:rPr>
          <w:sz w:val="28"/>
          <w:lang w:val="en-GB"/>
        </w:rPr>
        <w:t xml:space="preserve"> meeting short report</w:t>
      </w:r>
    </w:p>
    <w:p w:rsidR="0045063E" w:rsidRPr="0045063E" w:rsidRDefault="0045063E" w:rsidP="0045063E">
      <w:pPr>
        <w:pStyle w:val="Heading1"/>
        <w:rPr>
          <w:lang w:val="en-GB"/>
        </w:rPr>
      </w:pPr>
      <w:r w:rsidRPr="0045063E">
        <w:rPr>
          <w:lang w:val="en-GB"/>
        </w:rPr>
        <w:t>1. General</w:t>
      </w:r>
    </w:p>
    <w:p w:rsidR="0045063E" w:rsidRPr="0045063E" w:rsidRDefault="0045063E" w:rsidP="0045063E">
      <w:pPr>
        <w:pStyle w:val="Heading2"/>
        <w:jc w:val="both"/>
        <w:rPr>
          <w:b w:val="0"/>
          <w:bCs/>
          <w:lang w:val="en-GB"/>
        </w:rPr>
      </w:pPr>
      <w:r w:rsidRPr="0045063E">
        <w:rPr>
          <w:b w:val="0"/>
          <w:bCs/>
          <w:lang w:val="en-GB"/>
        </w:rPr>
        <w:t>2</w:t>
      </w:r>
      <w:r w:rsidR="00D23DD5">
        <w:rPr>
          <w:b w:val="0"/>
          <w:bCs/>
          <w:lang w:val="en-GB"/>
        </w:rPr>
        <w:t>5</w:t>
      </w:r>
      <w:r w:rsidR="00D23DD5">
        <w:rPr>
          <w:b w:val="0"/>
          <w:bCs/>
          <w:vertAlign w:val="superscript"/>
          <w:lang w:val="en-GB"/>
        </w:rPr>
        <w:t>th</w:t>
      </w:r>
      <w:r w:rsidR="004B1D40">
        <w:rPr>
          <w:b w:val="0"/>
          <w:bCs/>
          <w:lang w:val="en-GB"/>
        </w:rPr>
        <w:t xml:space="preserve"> </w:t>
      </w:r>
      <w:r w:rsidRPr="0045063E">
        <w:rPr>
          <w:b w:val="0"/>
          <w:bCs/>
          <w:lang w:val="en-GB"/>
        </w:rPr>
        <w:t xml:space="preserve">meeting was held on </w:t>
      </w:r>
      <w:r w:rsidR="00713DF4">
        <w:rPr>
          <w:b w:val="0"/>
          <w:bCs/>
          <w:lang w:val="en-GB"/>
        </w:rPr>
        <w:t>Ma</w:t>
      </w:r>
      <w:r w:rsidRPr="0045063E">
        <w:rPr>
          <w:b w:val="0"/>
          <w:bCs/>
          <w:lang w:val="en-GB"/>
        </w:rPr>
        <w:t xml:space="preserve">y </w:t>
      </w:r>
      <w:r w:rsidR="00713DF4">
        <w:rPr>
          <w:b w:val="0"/>
          <w:bCs/>
          <w:lang w:val="en-GB"/>
        </w:rPr>
        <w:t>2</w:t>
      </w:r>
      <w:r w:rsidR="003A4889">
        <w:rPr>
          <w:b w:val="0"/>
          <w:bCs/>
          <w:lang w:val="en-GB"/>
        </w:rPr>
        <w:t>5</w:t>
      </w:r>
      <w:r w:rsidRPr="003A4889">
        <w:rPr>
          <w:b w:val="0"/>
          <w:bCs/>
          <w:vertAlign w:val="superscript"/>
          <w:lang w:val="en-GB"/>
        </w:rPr>
        <w:t>th</w:t>
      </w:r>
      <w:r w:rsidRPr="0045063E">
        <w:rPr>
          <w:b w:val="0"/>
          <w:bCs/>
          <w:lang w:val="en-GB"/>
        </w:rPr>
        <w:t>, 20</w:t>
      </w:r>
      <w:r w:rsidR="003A4889">
        <w:rPr>
          <w:b w:val="0"/>
          <w:bCs/>
          <w:lang w:val="en-GB"/>
        </w:rPr>
        <w:t>2</w:t>
      </w:r>
      <w:r w:rsidR="00D23DD5">
        <w:rPr>
          <w:b w:val="0"/>
          <w:bCs/>
          <w:lang w:val="en-GB"/>
        </w:rPr>
        <w:t>2</w:t>
      </w:r>
      <w:r w:rsidRPr="0045063E">
        <w:rPr>
          <w:b w:val="0"/>
          <w:bCs/>
          <w:lang w:val="en-GB"/>
        </w:rPr>
        <w:t xml:space="preserve"> </w:t>
      </w:r>
      <w:r w:rsidR="00713DF4">
        <w:rPr>
          <w:b w:val="0"/>
          <w:bCs/>
          <w:lang w:val="en-GB"/>
        </w:rPr>
        <w:t>online</w:t>
      </w:r>
      <w:r w:rsidRPr="0045063E">
        <w:rPr>
          <w:b w:val="0"/>
          <w:bCs/>
          <w:lang w:val="en-GB"/>
        </w:rPr>
        <w:t>.</w:t>
      </w:r>
    </w:p>
    <w:p w:rsidR="0045063E" w:rsidRPr="0045063E" w:rsidRDefault="0045063E" w:rsidP="0045063E">
      <w:pPr>
        <w:pStyle w:val="Heading2"/>
        <w:jc w:val="both"/>
        <w:rPr>
          <w:b w:val="0"/>
          <w:bCs/>
          <w:lang w:val="en-GB"/>
        </w:rPr>
      </w:pPr>
      <w:r w:rsidRPr="0045063E">
        <w:rPr>
          <w:b w:val="0"/>
          <w:bCs/>
          <w:lang w:val="en-GB"/>
        </w:rPr>
        <w:t>ExNB</w:t>
      </w:r>
      <w:r w:rsidR="003A4889">
        <w:rPr>
          <w:b w:val="0"/>
          <w:bCs/>
          <w:lang w:val="en-GB"/>
        </w:rPr>
        <w:t>G</w:t>
      </w:r>
      <w:r w:rsidRPr="0045063E">
        <w:rPr>
          <w:b w:val="0"/>
          <w:bCs/>
          <w:lang w:val="en-GB"/>
        </w:rPr>
        <w:t xml:space="preserve"> has got three active Working Groups:</w:t>
      </w:r>
    </w:p>
    <w:p w:rsidR="0045063E" w:rsidRPr="0045063E" w:rsidRDefault="0045063E" w:rsidP="0045063E">
      <w:pPr>
        <w:pStyle w:val="Heading2"/>
        <w:numPr>
          <w:ilvl w:val="0"/>
          <w:numId w:val="19"/>
        </w:numPr>
        <w:jc w:val="both"/>
        <w:rPr>
          <w:b w:val="0"/>
          <w:bCs/>
          <w:lang w:val="en-GB"/>
        </w:rPr>
      </w:pPr>
      <w:r w:rsidRPr="0045063E">
        <w:rPr>
          <w:b w:val="0"/>
          <w:bCs/>
          <w:lang w:val="en-GB"/>
        </w:rPr>
        <w:t>WG 98/5 Devices with measuring function for explosion protection</w:t>
      </w:r>
    </w:p>
    <w:p w:rsidR="0045063E" w:rsidRPr="0045063E" w:rsidRDefault="0045063E" w:rsidP="0045063E">
      <w:pPr>
        <w:pStyle w:val="Heading2"/>
        <w:numPr>
          <w:ilvl w:val="0"/>
          <w:numId w:val="19"/>
        </w:numPr>
        <w:jc w:val="both"/>
        <w:rPr>
          <w:b w:val="0"/>
          <w:bCs/>
          <w:lang w:val="en-GB"/>
        </w:rPr>
      </w:pPr>
      <w:r w:rsidRPr="0045063E">
        <w:rPr>
          <w:b w:val="0"/>
          <w:bCs/>
          <w:lang w:val="en-GB"/>
        </w:rPr>
        <w:t>WG 04/13 QM-questions</w:t>
      </w:r>
    </w:p>
    <w:p w:rsidR="0045063E" w:rsidRPr="0045063E" w:rsidRDefault="0045063E" w:rsidP="0045063E">
      <w:pPr>
        <w:pStyle w:val="Heading2"/>
        <w:numPr>
          <w:ilvl w:val="0"/>
          <w:numId w:val="19"/>
        </w:numPr>
        <w:jc w:val="both"/>
        <w:rPr>
          <w:b w:val="0"/>
          <w:bCs/>
          <w:lang w:val="en-GB"/>
        </w:rPr>
      </w:pPr>
      <w:r w:rsidRPr="0045063E">
        <w:rPr>
          <w:b w:val="0"/>
          <w:bCs/>
          <w:lang w:val="en-GB"/>
        </w:rPr>
        <w:t>WG 08/14 Consideration of state of the art</w:t>
      </w:r>
    </w:p>
    <w:bookmarkEnd w:id="0"/>
    <w:p w:rsidR="009536FE" w:rsidRDefault="009536FE" w:rsidP="007211D7">
      <w:pPr>
        <w:tabs>
          <w:tab w:val="left" w:pos="851"/>
        </w:tabs>
        <w:jc w:val="both"/>
        <w:rPr>
          <w:bCs/>
          <w:lang w:val="en-GB"/>
        </w:rPr>
      </w:pPr>
    </w:p>
    <w:p w:rsidR="0045063E" w:rsidRPr="0045063E" w:rsidRDefault="0045063E" w:rsidP="003B1E81">
      <w:pPr>
        <w:pStyle w:val="Heading1"/>
        <w:rPr>
          <w:lang w:val="en-GB"/>
        </w:rPr>
      </w:pPr>
      <w:r w:rsidRPr="0045063E">
        <w:rPr>
          <w:lang w:val="en-GB"/>
        </w:rPr>
        <w:t>2. Cooperation</w:t>
      </w:r>
      <w:r w:rsidR="003B1E81">
        <w:rPr>
          <w:lang w:val="en-GB"/>
        </w:rPr>
        <w:t xml:space="preserve"> </w:t>
      </w:r>
      <w:r w:rsidRPr="0045063E">
        <w:rPr>
          <w:lang w:val="en-GB"/>
        </w:rPr>
        <w:t>with bodies outside EU</w:t>
      </w:r>
      <w:r w:rsidR="000C065A">
        <w:rPr>
          <w:lang w:val="en-GB"/>
        </w:rPr>
        <w:t>/EEA</w:t>
      </w:r>
      <w:r w:rsidRPr="0045063E">
        <w:rPr>
          <w:lang w:val="en-GB"/>
        </w:rPr>
        <w:t xml:space="preserve"> (</w:t>
      </w:r>
      <w:r w:rsidR="000C065A">
        <w:rPr>
          <w:lang w:val="en-GB"/>
        </w:rPr>
        <w:t xml:space="preserve">CH / CETA / </w:t>
      </w:r>
      <w:r w:rsidRPr="0045063E">
        <w:rPr>
          <w:lang w:val="en-GB"/>
        </w:rPr>
        <w:t>IECEx)</w:t>
      </w:r>
    </w:p>
    <w:p w:rsidR="0045063E" w:rsidRDefault="000C065A" w:rsidP="0045063E">
      <w:pPr>
        <w:tabs>
          <w:tab w:val="left" w:pos="851"/>
        </w:tabs>
        <w:jc w:val="both"/>
        <w:rPr>
          <w:bCs/>
          <w:lang w:val="en-GB"/>
        </w:rPr>
      </w:pPr>
      <w:r>
        <w:rPr>
          <w:bCs/>
          <w:lang w:val="en-GB"/>
        </w:rPr>
        <w:t>In the work of ExNBG participate</w:t>
      </w:r>
      <w:r w:rsidR="00475DEA">
        <w:rPr>
          <w:bCs/>
          <w:lang w:val="en-GB"/>
        </w:rPr>
        <w:t>,</w:t>
      </w:r>
      <w:r>
        <w:rPr>
          <w:bCs/>
          <w:lang w:val="en-GB"/>
        </w:rPr>
        <w:t xml:space="preserve"> as full members</w:t>
      </w:r>
      <w:r w:rsidR="00475DEA">
        <w:rPr>
          <w:bCs/>
          <w:lang w:val="en-GB"/>
        </w:rPr>
        <w:t>,</w:t>
      </w:r>
      <w:r>
        <w:rPr>
          <w:bCs/>
          <w:lang w:val="en-GB"/>
        </w:rPr>
        <w:t xml:space="preserve"> also ATEX Notified Bodies </w:t>
      </w:r>
      <w:r w:rsidR="00A832A0">
        <w:rPr>
          <w:bCs/>
          <w:lang w:val="en-GB"/>
        </w:rPr>
        <w:t xml:space="preserve">based </w:t>
      </w:r>
      <w:r>
        <w:rPr>
          <w:bCs/>
          <w:lang w:val="en-GB"/>
        </w:rPr>
        <w:t>outside of EU/EEA – 3 organizations from Switzerland (MRA) and 4 from Canada (CETA).</w:t>
      </w:r>
    </w:p>
    <w:p w:rsidR="0045063E" w:rsidRDefault="0045063E" w:rsidP="007211D7">
      <w:pPr>
        <w:tabs>
          <w:tab w:val="left" w:pos="851"/>
        </w:tabs>
        <w:jc w:val="both"/>
        <w:rPr>
          <w:bCs/>
          <w:lang w:val="en-GB"/>
        </w:rPr>
      </w:pPr>
    </w:p>
    <w:p w:rsidR="0017796B" w:rsidRDefault="0017796B" w:rsidP="007211D7">
      <w:pPr>
        <w:tabs>
          <w:tab w:val="left" w:pos="851"/>
        </w:tabs>
        <w:jc w:val="both"/>
        <w:rPr>
          <w:bCs/>
          <w:lang w:val="en-GB"/>
        </w:rPr>
      </w:pPr>
      <w:r>
        <w:rPr>
          <w:bCs/>
          <w:lang w:val="en-GB"/>
        </w:rPr>
        <w:t xml:space="preserve">ExNBG </w:t>
      </w:r>
      <w:r w:rsidR="0080098D">
        <w:rPr>
          <w:bCs/>
          <w:lang w:val="en-GB"/>
        </w:rPr>
        <w:t>received a report from our IECEx System liaison</w:t>
      </w:r>
      <w:r w:rsidR="000C065A">
        <w:rPr>
          <w:bCs/>
          <w:lang w:val="en-GB"/>
        </w:rPr>
        <w:t xml:space="preserve"> on the onoing activities</w:t>
      </w:r>
      <w:r w:rsidR="0080098D">
        <w:rPr>
          <w:bCs/>
          <w:lang w:val="en-GB"/>
        </w:rPr>
        <w:t xml:space="preserve"> and </w:t>
      </w:r>
      <w:r>
        <w:rPr>
          <w:bCs/>
          <w:lang w:val="en-GB"/>
        </w:rPr>
        <w:t>confirm</w:t>
      </w:r>
      <w:r w:rsidR="0080098D">
        <w:rPr>
          <w:bCs/>
          <w:lang w:val="en-GB"/>
        </w:rPr>
        <w:t>ed</w:t>
      </w:r>
      <w:r>
        <w:rPr>
          <w:bCs/>
          <w:lang w:val="en-GB"/>
        </w:rPr>
        <w:t xml:space="preserve"> their </w:t>
      </w:r>
      <w:r w:rsidR="007D747C">
        <w:rPr>
          <w:bCs/>
          <w:lang w:val="en-GB"/>
        </w:rPr>
        <w:t xml:space="preserve">wish </w:t>
      </w:r>
      <w:r w:rsidR="003A4889">
        <w:rPr>
          <w:bCs/>
          <w:lang w:val="en-GB"/>
        </w:rPr>
        <w:t xml:space="preserve">to continue to cooperate with </w:t>
      </w:r>
      <w:r w:rsidR="00475DEA">
        <w:rPr>
          <w:bCs/>
          <w:lang w:val="en-GB"/>
        </w:rPr>
        <w:t xml:space="preserve">the </w:t>
      </w:r>
      <w:r w:rsidR="003A4889">
        <w:rPr>
          <w:bCs/>
          <w:lang w:val="en-GB"/>
        </w:rPr>
        <w:t xml:space="preserve">IECEx </w:t>
      </w:r>
      <w:r w:rsidR="00475DEA">
        <w:rPr>
          <w:bCs/>
          <w:lang w:val="en-GB"/>
        </w:rPr>
        <w:t>System</w:t>
      </w:r>
      <w:r w:rsidR="003A4889">
        <w:rPr>
          <w:bCs/>
          <w:lang w:val="en-GB"/>
        </w:rPr>
        <w:t>.</w:t>
      </w:r>
    </w:p>
    <w:p w:rsidR="003B1E81" w:rsidRPr="003B1E81" w:rsidRDefault="003B1E81" w:rsidP="003B1E81">
      <w:pPr>
        <w:pStyle w:val="Heading1"/>
        <w:rPr>
          <w:lang w:val="en-GB"/>
        </w:rPr>
      </w:pPr>
      <w:r>
        <w:rPr>
          <w:lang w:val="en-GB"/>
        </w:rPr>
        <w:t>3</w:t>
      </w:r>
      <w:r w:rsidRPr="003B1E81">
        <w:rPr>
          <w:lang w:val="en-GB"/>
        </w:rPr>
        <w:t>. Technical discussions</w:t>
      </w:r>
    </w:p>
    <w:p w:rsidR="003B1E81" w:rsidRPr="003B1E81" w:rsidRDefault="003B1E81" w:rsidP="003B1E81">
      <w:pPr>
        <w:pStyle w:val="Heading2"/>
        <w:rPr>
          <w:lang w:val="en-GB"/>
        </w:rPr>
      </w:pPr>
      <w:r>
        <w:rPr>
          <w:lang w:val="en-GB"/>
        </w:rPr>
        <w:t>3</w:t>
      </w:r>
      <w:r w:rsidRPr="003B1E81">
        <w:rPr>
          <w:lang w:val="en-GB"/>
        </w:rPr>
        <w:t>.</w:t>
      </w:r>
      <w:r w:rsidR="00EB1405">
        <w:rPr>
          <w:lang w:val="en-GB"/>
        </w:rPr>
        <w:t>1</w:t>
      </w:r>
      <w:r w:rsidRPr="003B1E81">
        <w:rPr>
          <w:lang w:val="en-GB"/>
        </w:rPr>
        <w:t xml:space="preserve"> </w:t>
      </w:r>
      <w:r w:rsidR="00DB3902" w:rsidRPr="00DB3902">
        <w:rPr>
          <w:lang w:val="en-GB"/>
        </w:rPr>
        <w:t>Clarification Sheets</w:t>
      </w:r>
      <w:r w:rsidR="002072A2">
        <w:rPr>
          <w:lang w:val="en-GB"/>
        </w:rPr>
        <w:t xml:space="preserve"> published</w:t>
      </w:r>
      <w:r w:rsidR="00DB3902" w:rsidRPr="00DB3902">
        <w:rPr>
          <w:lang w:val="en-GB"/>
        </w:rPr>
        <w:t xml:space="preserve"> in 20</w:t>
      </w:r>
      <w:r w:rsidR="0080098D">
        <w:rPr>
          <w:lang w:val="en-GB"/>
        </w:rPr>
        <w:t>21</w:t>
      </w:r>
    </w:p>
    <w:p w:rsidR="0017796B" w:rsidRDefault="0080098D" w:rsidP="0080098D">
      <w:pPr>
        <w:numPr>
          <w:ilvl w:val="0"/>
          <w:numId w:val="20"/>
        </w:numPr>
        <w:jc w:val="both"/>
        <w:rPr>
          <w:bCs/>
          <w:lang w:val="en-GB"/>
        </w:rPr>
      </w:pPr>
      <w:r w:rsidRPr="0080098D">
        <w:rPr>
          <w:bCs/>
          <w:lang w:val="en-GB"/>
        </w:rPr>
        <w:t>ExNB/CS/024</w:t>
      </w:r>
      <w:r w:rsidR="002072A2">
        <w:rPr>
          <w:bCs/>
          <w:lang w:val="en-GB"/>
        </w:rPr>
        <w:t>*</w:t>
      </w:r>
      <w:r w:rsidRPr="0080098D">
        <w:rPr>
          <w:bCs/>
          <w:lang w:val="en-GB"/>
        </w:rPr>
        <w:t xml:space="preserve"> “Management of assessment and surveillance programs for products covered by Annexes IV and VII of the ATEX Directive 2014/34/EU”;</w:t>
      </w:r>
    </w:p>
    <w:p w:rsidR="003B1E81" w:rsidRDefault="0080098D" w:rsidP="0080098D">
      <w:pPr>
        <w:numPr>
          <w:ilvl w:val="0"/>
          <w:numId w:val="20"/>
        </w:numPr>
        <w:jc w:val="both"/>
        <w:rPr>
          <w:bCs/>
          <w:lang w:val="en-GB"/>
        </w:rPr>
      </w:pPr>
      <w:r w:rsidRPr="0080098D">
        <w:rPr>
          <w:bCs/>
          <w:lang w:val="en-GB"/>
        </w:rPr>
        <w:t>ExNB/CS/025 “Significant changes between European Standards and the pre-vious editions”;</w:t>
      </w:r>
    </w:p>
    <w:p w:rsidR="0080098D" w:rsidRDefault="0080098D" w:rsidP="00405F44">
      <w:pPr>
        <w:numPr>
          <w:ilvl w:val="0"/>
          <w:numId w:val="20"/>
        </w:numPr>
        <w:jc w:val="both"/>
        <w:rPr>
          <w:bCs/>
          <w:lang w:val="en-GB"/>
        </w:rPr>
      </w:pPr>
      <w:r w:rsidRPr="0080098D">
        <w:rPr>
          <w:bCs/>
          <w:lang w:val="en-GB"/>
        </w:rPr>
        <w:t>ExNB/CS/026 “Additional minimum content of a certificate for equipment with a gas measuring function”;</w:t>
      </w:r>
    </w:p>
    <w:p w:rsidR="0080098D" w:rsidRDefault="0080098D" w:rsidP="00405F44">
      <w:pPr>
        <w:numPr>
          <w:ilvl w:val="0"/>
          <w:numId w:val="20"/>
        </w:numPr>
        <w:jc w:val="both"/>
        <w:rPr>
          <w:bCs/>
          <w:lang w:val="en-GB"/>
        </w:rPr>
      </w:pPr>
      <w:r w:rsidRPr="0080098D">
        <w:rPr>
          <w:bCs/>
          <w:lang w:val="en-GB"/>
        </w:rPr>
        <w:tab/>
        <w:t>ExNB/CS/027 “Air velocity test according to EN 60079-29-1, clause 5.4.10.2”;</w:t>
      </w:r>
    </w:p>
    <w:p w:rsidR="0080098D" w:rsidRDefault="0080098D" w:rsidP="00405F44">
      <w:pPr>
        <w:numPr>
          <w:ilvl w:val="0"/>
          <w:numId w:val="20"/>
        </w:numPr>
        <w:jc w:val="both"/>
        <w:rPr>
          <w:bCs/>
          <w:lang w:val="en-GB"/>
        </w:rPr>
      </w:pPr>
      <w:r w:rsidRPr="0080098D">
        <w:rPr>
          <w:bCs/>
          <w:lang w:val="en-GB"/>
        </w:rPr>
        <w:t>ExNB/CS/028 “Validity of CS prepared under Directive 94/9/EC in the context of Directive 2014/34/EU”;</w:t>
      </w:r>
    </w:p>
    <w:p w:rsidR="0080098D" w:rsidRDefault="0080098D" w:rsidP="00405F44">
      <w:pPr>
        <w:numPr>
          <w:ilvl w:val="0"/>
          <w:numId w:val="20"/>
        </w:numPr>
        <w:jc w:val="both"/>
        <w:rPr>
          <w:bCs/>
          <w:lang w:val="en-GB"/>
        </w:rPr>
      </w:pPr>
      <w:r w:rsidRPr="0080098D">
        <w:rPr>
          <w:bCs/>
          <w:lang w:val="en-GB"/>
        </w:rPr>
        <w:t>ExNB/CS/029 “LED not a safety device”;</w:t>
      </w:r>
    </w:p>
    <w:p w:rsidR="0080098D" w:rsidRDefault="0080098D" w:rsidP="00405F44">
      <w:pPr>
        <w:numPr>
          <w:ilvl w:val="0"/>
          <w:numId w:val="20"/>
        </w:numPr>
        <w:jc w:val="both"/>
        <w:rPr>
          <w:bCs/>
          <w:lang w:val="en-GB"/>
        </w:rPr>
      </w:pPr>
      <w:r w:rsidRPr="0080098D">
        <w:rPr>
          <w:bCs/>
          <w:lang w:val="en-GB"/>
        </w:rPr>
        <w:t>ExNB/CS/030 “Specification and check of pre-certified parts” and</w:t>
      </w:r>
    </w:p>
    <w:p w:rsidR="0080098D" w:rsidRPr="0080098D" w:rsidRDefault="0080098D" w:rsidP="00405F44">
      <w:pPr>
        <w:numPr>
          <w:ilvl w:val="0"/>
          <w:numId w:val="20"/>
        </w:numPr>
        <w:jc w:val="both"/>
        <w:rPr>
          <w:bCs/>
          <w:lang w:val="en-GB"/>
        </w:rPr>
      </w:pPr>
      <w:r w:rsidRPr="0080098D">
        <w:rPr>
          <w:bCs/>
          <w:lang w:val="en-GB"/>
        </w:rPr>
        <w:t>ExNB/CS/031 “Instructions and EU-type examination”.</w:t>
      </w:r>
    </w:p>
    <w:p w:rsidR="0080098D" w:rsidRDefault="0080098D" w:rsidP="003B1E81">
      <w:pPr>
        <w:tabs>
          <w:tab w:val="left" w:pos="851"/>
        </w:tabs>
        <w:jc w:val="both"/>
        <w:rPr>
          <w:bCs/>
          <w:lang w:val="en-GB"/>
        </w:rPr>
      </w:pPr>
    </w:p>
    <w:p w:rsidR="002072A2" w:rsidRPr="0017796B" w:rsidRDefault="002072A2" w:rsidP="002072A2">
      <w:pPr>
        <w:ind w:left="720"/>
        <w:jc w:val="both"/>
        <w:rPr>
          <w:bCs/>
          <w:lang w:val="en-GB"/>
        </w:rPr>
      </w:pPr>
      <w:r>
        <w:rPr>
          <w:bCs/>
          <w:lang w:val="en-GB"/>
        </w:rPr>
        <w:t>*</w:t>
      </w:r>
      <w:r w:rsidRPr="002072A2">
        <w:rPr>
          <w:bCs/>
          <w:lang w:val="en-GB"/>
        </w:rPr>
        <w:t xml:space="preserve"> </w:t>
      </w:r>
      <w:r>
        <w:rPr>
          <w:bCs/>
          <w:lang w:val="en-GB"/>
        </w:rPr>
        <w:t xml:space="preserve">This Clarification Sheet is now aligned with ISO 19011 (“Guidelines for auditing management systems”). </w:t>
      </w:r>
      <w:r w:rsidR="00475DEA">
        <w:rPr>
          <w:bCs/>
          <w:lang w:val="en-GB"/>
        </w:rPr>
        <w:t>ExNBG</w:t>
      </w:r>
      <w:r>
        <w:rPr>
          <w:bCs/>
          <w:lang w:val="en-GB"/>
        </w:rPr>
        <w:t xml:space="preserve"> would like to s</w:t>
      </w:r>
      <w:r w:rsidR="00EB1405">
        <w:rPr>
          <w:bCs/>
          <w:lang w:val="en-GB"/>
        </w:rPr>
        <w:t>uggest</w:t>
      </w:r>
      <w:r>
        <w:rPr>
          <w:bCs/>
          <w:lang w:val="en-GB"/>
        </w:rPr>
        <w:t xml:space="preserve"> that ExMC WG5 takes this into account when they commence their work </w:t>
      </w:r>
      <w:r w:rsidR="00EB1405">
        <w:rPr>
          <w:bCs/>
          <w:lang w:val="en-GB"/>
        </w:rPr>
        <w:t>on</w:t>
      </w:r>
      <w:r>
        <w:rPr>
          <w:bCs/>
          <w:lang w:val="en-GB"/>
        </w:rPr>
        <w:t xml:space="preserve"> the revision of OD025.</w:t>
      </w:r>
    </w:p>
    <w:p w:rsidR="002072A2" w:rsidRDefault="002072A2" w:rsidP="003B1E81">
      <w:pPr>
        <w:tabs>
          <w:tab w:val="left" w:pos="851"/>
        </w:tabs>
        <w:jc w:val="both"/>
        <w:rPr>
          <w:bCs/>
          <w:lang w:val="en-GB"/>
        </w:rPr>
      </w:pPr>
    </w:p>
    <w:p w:rsidR="00EB1405" w:rsidRDefault="00EB1405" w:rsidP="00EB1405">
      <w:pPr>
        <w:pStyle w:val="Heading2"/>
        <w:rPr>
          <w:lang w:val="en-GB"/>
        </w:rPr>
      </w:pPr>
      <w:r>
        <w:rPr>
          <w:lang w:val="en-GB"/>
        </w:rPr>
        <w:t xml:space="preserve">3.2 Applicability of IECEx TAG </w:t>
      </w:r>
      <w:r w:rsidR="00F7477A">
        <w:rPr>
          <w:lang w:val="en-GB"/>
        </w:rPr>
        <w:t>Decision Sheets</w:t>
      </w:r>
      <w:r>
        <w:rPr>
          <w:lang w:val="en-GB"/>
        </w:rPr>
        <w:t xml:space="preserve"> as ExNBG Clarification Sheets</w:t>
      </w:r>
    </w:p>
    <w:p w:rsidR="00A832A0" w:rsidRPr="00A832A0" w:rsidRDefault="00EB1405" w:rsidP="00EB1405">
      <w:pPr>
        <w:rPr>
          <w:rFonts w:cs="Arial"/>
          <w:bCs/>
          <w:szCs w:val="24"/>
          <w:lang w:val="en-GB"/>
        </w:rPr>
      </w:pPr>
      <w:r>
        <w:rPr>
          <w:lang w:val="en-GB"/>
        </w:rPr>
        <w:t>ExNB/CS/010 lists all the ExTAG DS’</w:t>
      </w:r>
      <w:r w:rsidR="00F7477A">
        <w:rPr>
          <w:lang w:val="en-GB"/>
        </w:rPr>
        <w:t xml:space="preserve"> </w:t>
      </w:r>
      <w:r w:rsidR="00A832A0">
        <w:rPr>
          <w:lang w:val="en-GB"/>
        </w:rPr>
        <w:t xml:space="preserve">that shall be applied as ExNBG CS’. However it was noted that no ExTAG DS’ issued after February 2019 were added to that list. Therefore it was decided to task </w:t>
      </w:r>
      <w:r w:rsidR="00A832A0" w:rsidRPr="00DB5A5E">
        <w:rPr>
          <w:rFonts w:cs="Arial"/>
          <w:bCs/>
          <w:szCs w:val="24"/>
          <w:lang w:val="en-GB"/>
        </w:rPr>
        <w:t xml:space="preserve">WG 08/14 </w:t>
      </w:r>
      <w:r w:rsidR="00A832A0">
        <w:rPr>
          <w:rFonts w:cs="Arial"/>
          <w:bCs/>
          <w:szCs w:val="24"/>
          <w:lang w:val="en-GB"/>
        </w:rPr>
        <w:t>(</w:t>
      </w:r>
      <w:r w:rsidR="00A832A0" w:rsidRPr="00DB5A5E">
        <w:rPr>
          <w:rFonts w:cs="Arial"/>
          <w:bCs/>
          <w:szCs w:val="24"/>
          <w:lang w:val="en-GB"/>
        </w:rPr>
        <w:t>Consideration of state of the art</w:t>
      </w:r>
      <w:r w:rsidR="00A832A0">
        <w:rPr>
          <w:rFonts w:cs="Arial"/>
          <w:bCs/>
          <w:szCs w:val="24"/>
          <w:lang w:val="en-GB"/>
        </w:rPr>
        <w:t xml:space="preserve">) to take on the work of ongoing review of the DS’ with the purpose to have them included to </w:t>
      </w:r>
      <w:r w:rsidR="00A832A0">
        <w:rPr>
          <w:lang w:val="en-GB"/>
        </w:rPr>
        <w:t>ExNB/CS/010.</w:t>
      </w:r>
    </w:p>
    <w:p w:rsidR="00EB1405" w:rsidRPr="00EB1405" w:rsidRDefault="00EB1405" w:rsidP="00EB1405">
      <w:pPr>
        <w:rPr>
          <w:lang w:val="en-GB"/>
        </w:rPr>
      </w:pPr>
    </w:p>
    <w:p w:rsidR="0017796B" w:rsidRPr="0017796B" w:rsidRDefault="0017796B" w:rsidP="0017796B">
      <w:pPr>
        <w:pStyle w:val="Heading2"/>
        <w:rPr>
          <w:lang w:val="en-GB"/>
        </w:rPr>
      </w:pPr>
      <w:r>
        <w:rPr>
          <w:lang w:val="en-GB"/>
        </w:rPr>
        <w:t>3</w:t>
      </w:r>
      <w:r w:rsidRPr="003B1E81">
        <w:rPr>
          <w:lang w:val="en-GB"/>
        </w:rPr>
        <w:t>.</w:t>
      </w:r>
      <w:r>
        <w:rPr>
          <w:lang w:val="en-GB"/>
        </w:rPr>
        <w:t>3</w:t>
      </w:r>
      <w:r w:rsidRPr="003B1E81">
        <w:rPr>
          <w:lang w:val="en-GB"/>
        </w:rPr>
        <w:t xml:space="preserve"> </w:t>
      </w:r>
      <w:r w:rsidR="00A56CB9">
        <w:rPr>
          <w:lang w:val="en-GB"/>
        </w:rPr>
        <w:t>Remote assessments</w:t>
      </w:r>
    </w:p>
    <w:p w:rsidR="00A56CB9" w:rsidRPr="00297CA0" w:rsidRDefault="00A56CB9" w:rsidP="00A56CB9">
      <w:pPr>
        <w:tabs>
          <w:tab w:val="left" w:pos="851"/>
          <w:tab w:val="left" w:pos="3686"/>
        </w:tabs>
        <w:spacing w:before="120" w:after="240"/>
        <w:jc w:val="both"/>
        <w:rPr>
          <w:rFonts w:cs="Arial"/>
          <w:bCs/>
          <w:szCs w:val="24"/>
          <w:lang w:val="en-GB"/>
        </w:rPr>
      </w:pPr>
      <w:r w:rsidRPr="00475DEA">
        <w:rPr>
          <w:rFonts w:cs="Arial"/>
          <w:bCs/>
          <w:szCs w:val="24"/>
          <w:lang w:val="en-GB"/>
        </w:rPr>
        <w:t xml:space="preserve">During the Covid-pandemic </w:t>
      </w:r>
      <w:r w:rsidR="00A832A0" w:rsidRPr="00475DEA">
        <w:rPr>
          <w:rFonts w:cs="Arial"/>
          <w:bCs/>
          <w:szCs w:val="24"/>
          <w:lang w:val="en-GB"/>
        </w:rPr>
        <w:t xml:space="preserve">the </w:t>
      </w:r>
      <w:r w:rsidRPr="00475DEA">
        <w:rPr>
          <w:rFonts w:cs="Arial"/>
          <w:bCs/>
          <w:szCs w:val="24"/>
          <w:lang w:val="en-GB"/>
        </w:rPr>
        <w:t xml:space="preserve">remote assessments have been allowed for a long time. </w:t>
      </w:r>
      <w:r w:rsidR="00A832A0" w:rsidRPr="00475DEA">
        <w:rPr>
          <w:rFonts w:cs="Arial"/>
          <w:bCs/>
          <w:szCs w:val="24"/>
          <w:lang w:val="en-GB"/>
        </w:rPr>
        <w:t>With the reference to</w:t>
      </w:r>
      <w:r w:rsidRPr="00475DEA">
        <w:rPr>
          <w:rFonts w:cs="Arial"/>
          <w:bCs/>
          <w:szCs w:val="24"/>
          <w:lang w:val="en-GB"/>
        </w:rPr>
        <w:t xml:space="preserve"> the cost effectiveness of this assessment method many manufacturers </w:t>
      </w:r>
      <w:r w:rsidR="001C783C" w:rsidRPr="00475DEA">
        <w:rPr>
          <w:rFonts w:cs="Arial"/>
          <w:bCs/>
          <w:szCs w:val="24"/>
          <w:lang w:val="en-GB"/>
        </w:rPr>
        <w:t>demand from</w:t>
      </w:r>
      <w:r w:rsidRPr="00475DEA">
        <w:rPr>
          <w:rFonts w:cs="Arial"/>
          <w:bCs/>
          <w:szCs w:val="24"/>
          <w:lang w:val="en-GB"/>
        </w:rPr>
        <w:t xml:space="preserve"> NB</w:t>
      </w:r>
      <w:r w:rsidR="00A832A0" w:rsidRPr="00475DEA">
        <w:rPr>
          <w:rFonts w:cs="Arial"/>
          <w:bCs/>
          <w:szCs w:val="24"/>
          <w:lang w:val="en-GB"/>
        </w:rPr>
        <w:t>s</w:t>
      </w:r>
      <w:r w:rsidRPr="00475DEA">
        <w:rPr>
          <w:rFonts w:cs="Arial"/>
          <w:bCs/>
          <w:szCs w:val="24"/>
          <w:lang w:val="en-GB"/>
        </w:rPr>
        <w:t xml:space="preserve"> to </w:t>
      </w:r>
      <w:r w:rsidR="00A832A0" w:rsidRPr="00475DEA">
        <w:rPr>
          <w:rFonts w:cs="Arial"/>
          <w:bCs/>
          <w:szCs w:val="24"/>
          <w:lang w:val="en-GB"/>
        </w:rPr>
        <w:t>continue to use this method</w:t>
      </w:r>
      <w:r w:rsidRPr="00475DEA">
        <w:rPr>
          <w:rFonts w:cs="Arial"/>
          <w:bCs/>
          <w:szCs w:val="24"/>
          <w:lang w:val="en-GB"/>
        </w:rPr>
        <w:t xml:space="preserve">. Therefore </w:t>
      </w:r>
      <w:r w:rsidR="00A832A0" w:rsidRPr="00475DEA">
        <w:rPr>
          <w:rFonts w:cs="Arial"/>
          <w:bCs/>
          <w:szCs w:val="24"/>
          <w:lang w:val="en-GB"/>
        </w:rPr>
        <w:t>ExNBG discussed if</w:t>
      </w:r>
      <w:r w:rsidRPr="00475DEA">
        <w:rPr>
          <w:rFonts w:cs="Arial"/>
          <w:bCs/>
          <w:szCs w:val="24"/>
          <w:lang w:val="en-GB"/>
        </w:rPr>
        <w:t xml:space="preserve"> this practice will be possible also in future</w:t>
      </w:r>
      <w:r w:rsidR="001C783C" w:rsidRPr="00475DEA">
        <w:rPr>
          <w:rFonts w:cs="Arial"/>
          <w:bCs/>
          <w:szCs w:val="24"/>
          <w:lang w:val="en-GB"/>
        </w:rPr>
        <w:t xml:space="preserve"> and under which conditions</w:t>
      </w:r>
      <w:r w:rsidRPr="00475DEA">
        <w:rPr>
          <w:rFonts w:cs="Arial"/>
          <w:bCs/>
          <w:szCs w:val="24"/>
          <w:lang w:val="en-GB"/>
        </w:rPr>
        <w:t xml:space="preserve">. After </w:t>
      </w:r>
      <w:r w:rsidR="001C783C" w:rsidRPr="00475DEA">
        <w:rPr>
          <w:rFonts w:cs="Arial"/>
          <w:bCs/>
          <w:szCs w:val="24"/>
          <w:lang w:val="en-GB"/>
        </w:rPr>
        <w:t xml:space="preserve">the </w:t>
      </w:r>
      <w:r w:rsidRPr="00475DEA">
        <w:rPr>
          <w:rFonts w:cs="Arial"/>
          <w:bCs/>
          <w:szCs w:val="24"/>
          <w:lang w:val="en-GB"/>
        </w:rPr>
        <w:t xml:space="preserve">discussion </w:t>
      </w:r>
      <w:r w:rsidR="001C783C" w:rsidRPr="00475DEA">
        <w:rPr>
          <w:rFonts w:cs="Arial"/>
          <w:bCs/>
          <w:szCs w:val="24"/>
          <w:lang w:val="en-GB"/>
        </w:rPr>
        <w:t>it was</w:t>
      </w:r>
      <w:r w:rsidRPr="00475DEA">
        <w:rPr>
          <w:rFonts w:cs="Arial"/>
          <w:bCs/>
          <w:szCs w:val="24"/>
          <w:lang w:val="en-GB"/>
        </w:rPr>
        <w:t xml:space="preserve"> </w:t>
      </w:r>
      <w:r w:rsidR="001C783C" w:rsidRPr="00475DEA">
        <w:rPr>
          <w:rFonts w:cs="Arial"/>
          <w:bCs/>
          <w:szCs w:val="24"/>
          <w:lang w:val="en-GB"/>
        </w:rPr>
        <w:t>agreed</w:t>
      </w:r>
      <w:r w:rsidRPr="00475DEA">
        <w:rPr>
          <w:rFonts w:cs="Arial"/>
          <w:bCs/>
          <w:szCs w:val="24"/>
          <w:lang w:val="en-GB"/>
        </w:rPr>
        <w:t xml:space="preserve"> that</w:t>
      </w:r>
      <w:r w:rsidR="001C783C" w:rsidRPr="00475DEA">
        <w:rPr>
          <w:rFonts w:cs="Arial"/>
          <w:bCs/>
          <w:szCs w:val="24"/>
          <w:lang w:val="en-GB"/>
        </w:rPr>
        <w:t xml:space="preserve"> the</w:t>
      </w:r>
      <w:r w:rsidRPr="00475DEA">
        <w:rPr>
          <w:rFonts w:cs="Arial"/>
          <w:bCs/>
          <w:szCs w:val="24"/>
          <w:lang w:val="en-GB"/>
        </w:rPr>
        <w:t xml:space="preserve"> remote assessments are possible under special circumstances and asked WG 04/13 to prepare a proposal for requirements for remote assessments reminding of </w:t>
      </w:r>
      <w:r w:rsidR="001C783C" w:rsidRPr="00475DEA">
        <w:rPr>
          <w:rFonts w:cs="Arial"/>
          <w:bCs/>
          <w:szCs w:val="24"/>
          <w:lang w:val="en-GB"/>
        </w:rPr>
        <w:t xml:space="preserve">the need to take into the account </w:t>
      </w:r>
      <w:r w:rsidRPr="00475DEA">
        <w:rPr>
          <w:rFonts w:cs="Arial"/>
          <w:bCs/>
          <w:szCs w:val="24"/>
          <w:lang w:val="en-GB"/>
        </w:rPr>
        <w:t>the IECE</w:t>
      </w:r>
      <w:r w:rsidR="001C783C" w:rsidRPr="00475DEA">
        <w:rPr>
          <w:rFonts w:cs="Arial"/>
          <w:bCs/>
          <w:szCs w:val="24"/>
          <w:lang w:val="en-GB"/>
        </w:rPr>
        <w:t>x approach</w:t>
      </w:r>
      <w:r w:rsidRPr="00475DEA">
        <w:rPr>
          <w:rFonts w:cs="Arial"/>
          <w:bCs/>
          <w:szCs w:val="24"/>
          <w:lang w:val="en-GB"/>
        </w:rPr>
        <w:t xml:space="preserve"> and practices and the position and results of </w:t>
      </w:r>
      <w:r w:rsidR="001C783C" w:rsidRPr="00475DEA">
        <w:rPr>
          <w:rFonts w:cs="Arial"/>
          <w:bCs/>
          <w:szCs w:val="24"/>
          <w:lang w:val="en-GB"/>
        </w:rPr>
        <w:t xml:space="preserve">the work being undertaken by the </w:t>
      </w:r>
      <w:r w:rsidR="00475DEA" w:rsidRPr="00475DEA">
        <w:rPr>
          <w:rFonts w:cs="Arial"/>
          <w:bCs/>
          <w:szCs w:val="24"/>
          <w:lang w:val="en-GB"/>
        </w:rPr>
        <w:t xml:space="preserve">ATEX </w:t>
      </w:r>
      <w:r w:rsidR="001C783C" w:rsidRPr="00475DEA">
        <w:rPr>
          <w:rFonts w:cs="Arial"/>
          <w:bCs/>
          <w:szCs w:val="24"/>
          <w:lang w:val="en-GB"/>
        </w:rPr>
        <w:t>authorities</w:t>
      </w:r>
      <w:r w:rsidRPr="00475DEA">
        <w:rPr>
          <w:rFonts w:cs="Arial"/>
          <w:bCs/>
          <w:szCs w:val="24"/>
          <w:lang w:val="en-GB"/>
        </w:rPr>
        <w:t>.</w:t>
      </w:r>
    </w:p>
    <w:p w:rsidR="0017796B" w:rsidRPr="0017796B" w:rsidRDefault="0017796B" w:rsidP="0017796B">
      <w:pPr>
        <w:pStyle w:val="Heading1"/>
        <w:rPr>
          <w:lang w:val="en-GB"/>
        </w:rPr>
      </w:pPr>
      <w:r>
        <w:rPr>
          <w:lang w:val="en-GB"/>
        </w:rPr>
        <w:t xml:space="preserve">4. </w:t>
      </w:r>
      <w:r w:rsidRPr="0017796B">
        <w:rPr>
          <w:lang w:val="en-GB"/>
        </w:rPr>
        <w:t>Communications</w:t>
      </w:r>
    </w:p>
    <w:p w:rsidR="00A56CB9" w:rsidRDefault="001C783C" w:rsidP="000C065A">
      <w:pPr>
        <w:tabs>
          <w:tab w:val="left" w:pos="851"/>
          <w:tab w:val="left" w:pos="3686"/>
        </w:tabs>
        <w:spacing w:after="240"/>
        <w:jc w:val="both"/>
        <w:rPr>
          <w:rFonts w:cs="Arial"/>
          <w:bCs/>
          <w:szCs w:val="24"/>
          <w:lang w:val="en-GB"/>
        </w:rPr>
      </w:pPr>
      <w:r>
        <w:rPr>
          <w:rFonts w:cs="Arial"/>
          <w:bCs/>
          <w:szCs w:val="24"/>
          <w:lang w:val="en-GB"/>
        </w:rPr>
        <w:t>W</w:t>
      </w:r>
      <w:r w:rsidR="00A56CB9">
        <w:rPr>
          <w:rFonts w:cs="Arial"/>
          <w:bCs/>
          <w:szCs w:val="24"/>
          <w:lang w:val="en-GB"/>
        </w:rPr>
        <w:t xml:space="preserve">e received </w:t>
      </w:r>
      <w:r>
        <w:rPr>
          <w:rFonts w:cs="Arial"/>
          <w:bCs/>
          <w:szCs w:val="24"/>
          <w:lang w:val="en-GB"/>
        </w:rPr>
        <w:t xml:space="preserve">a number of reports from our liaisons from the standardisation commitees and </w:t>
      </w:r>
      <w:r w:rsidR="00475DEA">
        <w:rPr>
          <w:rFonts w:cs="Arial"/>
          <w:bCs/>
          <w:szCs w:val="24"/>
          <w:lang w:val="en-GB"/>
        </w:rPr>
        <w:t xml:space="preserve">also from </w:t>
      </w:r>
      <w:r>
        <w:rPr>
          <w:rFonts w:cs="Arial"/>
          <w:bCs/>
          <w:szCs w:val="24"/>
          <w:lang w:val="en-GB"/>
        </w:rPr>
        <w:t>the European market surveillance authorities.</w:t>
      </w:r>
    </w:p>
    <w:p w:rsidR="000C065A" w:rsidRPr="00297CA0" w:rsidRDefault="000C065A" w:rsidP="000C065A">
      <w:pPr>
        <w:tabs>
          <w:tab w:val="left" w:pos="851"/>
          <w:tab w:val="left" w:pos="3686"/>
        </w:tabs>
        <w:spacing w:after="240"/>
        <w:jc w:val="both"/>
        <w:rPr>
          <w:rFonts w:cs="Arial"/>
          <w:bCs/>
          <w:szCs w:val="24"/>
          <w:lang w:val="en-GB"/>
        </w:rPr>
      </w:pPr>
      <w:r w:rsidRPr="00297CA0">
        <w:rPr>
          <w:rFonts w:cs="Arial"/>
          <w:bCs/>
          <w:szCs w:val="24"/>
          <w:lang w:val="en-GB"/>
        </w:rPr>
        <w:t xml:space="preserve">Mr. Lefebvre (HAS-consultant) reported about some </w:t>
      </w:r>
      <w:r>
        <w:rPr>
          <w:rFonts w:cs="Arial"/>
          <w:bCs/>
          <w:szCs w:val="24"/>
          <w:lang w:val="en-GB"/>
        </w:rPr>
        <w:t xml:space="preserve">additional </w:t>
      </w:r>
      <w:r w:rsidRPr="00297CA0">
        <w:rPr>
          <w:rFonts w:cs="Arial"/>
          <w:bCs/>
          <w:szCs w:val="24"/>
          <w:lang w:val="en-GB"/>
        </w:rPr>
        <w:t>delay with the implementation of ISO/IEC 80079-34</w:t>
      </w:r>
      <w:r>
        <w:rPr>
          <w:rFonts w:cs="Arial"/>
          <w:bCs/>
          <w:szCs w:val="24"/>
          <w:lang w:val="en-GB"/>
        </w:rPr>
        <w:t>, Ed. 2</w:t>
      </w:r>
      <w:r w:rsidRPr="00297CA0">
        <w:rPr>
          <w:rFonts w:cs="Arial"/>
          <w:bCs/>
          <w:szCs w:val="24"/>
          <w:lang w:val="en-GB"/>
        </w:rPr>
        <w:t xml:space="preserve"> as </w:t>
      </w:r>
      <w:r>
        <w:rPr>
          <w:rFonts w:cs="Arial"/>
          <w:bCs/>
          <w:szCs w:val="24"/>
          <w:lang w:val="en-GB"/>
        </w:rPr>
        <w:t xml:space="preserve">a </w:t>
      </w:r>
      <w:r w:rsidRPr="00297CA0">
        <w:rPr>
          <w:rFonts w:cs="Arial"/>
          <w:bCs/>
          <w:szCs w:val="24"/>
          <w:lang w:val="en-GB"/>
        </w:rPr>
        <w:t>European standard. Other standard</w:t>
      </w:r>
      <w:r w:rsidR="00475DEA">
        <w:rPr>
          <w:rFonts w:cs="Arial"/>
          <w:bCs/>
          <w:szCs w:val="24"/>
          <w:lang w:val="en-GB"/>
        </w:rPr>
        <w:t>s related</w:t>
      </w:r>
      <w:r w:rsidRPr="00297CA0">
        <w:rPr>
          <w:rFonts w:cs="Arial"/>
          <w:bCs/>
          <w:szCs w:val="24"/>
          <w:lang w:val="en-GB"/>
        </w:rPr>
        <w:t xml:space="preserve"> work</w:t>
      </w:r>
      <w:r w:rsidR="00475DEA">
        <w:rPr>
          <w:rFonts w:cs="Arial"/>
          <w:bCs/>
          <w:szCs w:val="24"/>
          <w:lang w:val="en-GB"/>
        </w:rPr>
        <w:t xml:space="preserve"> he was involved in</w:t>
      </w:r>
      <w:r w:rsidRPr="00297CA0">
        <w:rPr>
          <w:rFonts w:cs="Arial"/>
          <w:bCs/>
          <w:szCs w:val="24"/>
          <w:lang w:val="en-GB"/>
        </w:rPr>
        <w:t xml:space="preserve"> </w:t>
      </w:r>
      <w:r w:rsidR="00475DEA">
        <w:rPr>
          <w:rFonts w:cs="Arial"/>
          <w:bCs/>
          <w:szCs w:val="24"/>
          <w:lang w:val="en-GB"/>
        </w:rPr>
        <w:t>is</w:t>
      </w:r>
      <w:r w:rsidRPr="00297CA0">
        <w:rPr>
          <w:rFonts w:cs="Arial"/>
          <w:bCs/>
          <w:szCs w:val="24"/>
          <w:lang w:val="en-GB"/>
        </w:rPr>
        <w:t xml:space="preserve"> dealing with the problem of hydrogen embrittlement of flame arrestors. </w:t>
      </w:r>
    </w:p>
    <w:p w:rsidR="000C065A" w:rsidRDefault="000C065A" w:rsidP="0017796B">
      <w:pPr>
        <w:tabs>
          <w:tab w:val="left" w:pos="851"/>
        </w:tabs>
        <w:jc w:val="both"/>
        <w:rPr>
          <w:bCs/>
          <w:lang w:val="en-GB"/>
        </w:rPr>
      </w:pPr>
    </w:p>
    <w:p w:rsidR="000C065A" w:rsidRDefault="000C065A" w:rsidP="0017796B">
      <w:pPr>
        <w:tabs>
          <w:tab w:val="left" w:pos="851"/>
        </w:tabs>
        <w:jc w:val="both"/>
        <w:rPr>
          <w:bCs/>
          <w:lang w:val="en-GB"/>
        </w:rPr>
      </w:pPr>
    </w:p>
    <w:p w:rsidR="0017796B" w:rsidRDefault="0017796B" w:rsidP="0017796B">
      <w:pPr>
        <w:tabs>
          <w:tab w:val="left" w:pos="851"/>
        </w:tabs>
        <w:jc w:val="both"/>
        <w:rPr>
          <w:bCs/>
          <w:lang w:val="en-GB"/>
        </w:rPr>
      </w:pPr>
    </w:p>
    <w:p w:rsidR="0045063E" w:rsidRDefault="0045063E" w:rsidP="007211D7">
      <w:pPr>
        <w:tabs>
          <w:tab w:val="left" w:pos="851"/>
        </w:tabs>
        <w:jc w:val="both"/>
        <w:rPr>
          <w:bCs/>
          <w:lang w:val="en-GB"/>
        </w:rPr>
      </w:pPr>
      <w:r w:rsidRPr="0045063E">
        <w:rPr>
          <w:bCs/>
          <w:lang w:val="en-GB"/>
        </w:rPr>
        <w:t>Next meeting of ExNB</w:t>
      </w:r>
      <w:r w:rsidR="0017796B">
        <w:rPr>
          <w:bCs/>
          <w:lang w:val="en-GB"/>
        </w:rPr>
        <w:t>G</w:t>
      </w:r>
      <w:r w:rsidRPr="0045063E">
        <w:rPr>
          <w:bCs/>
          <w:lang w:val="en-GB"/>
        </w:rPr>
        <w:t xml:space="preserve"> is planned for </w:t>
      </w:r>
      <w:r w:rsidR="00B25AD7" w:rsidRPr="00B25AD7">
        <w:rPr>
          <w:bCs/>
          <w:lang w:val="en-GB"/>
        </w:rPr>
        <w:t xml:space="preserve">week </w:t>
      </w:r>
      <w:r w:rsidR="00EE2C45">
        <w:rPr>
          <w:bCs/>
          <w:lang w:val="en-GB"/>
        </w:rPr>
        <w:t>4</w:t>
      </w:r>
      <w:r w:rsidR="00B25AD7" w:rsidRPr="00B25AD7">
        <w:rPr>
          <w:bCs/>
          <w:lang w:val="en-GB"/>
        </w:rPr>
        <w:t xml:space="preserve"> or </w:t>
      </w:r>
      <w:r w:rsidR="00EE2C45">
        <w:rPr>
          <w:bCs/>
          <w:lang w:val="en-GB"/>
        </w:rPr>
        <w:t>5 (January)</w:t>
      </w:r>
      <w:r w:rsidR="00B25AD7" w:rsidRPr="00B25AD7">
        <w:rPr>
          <w:bCs/>
          <w:lang w:val="en-GB"/>
        </w:rPr>
        <w:t xml:space="preserve"> </w:t>
      </w:r>
      <w:r w:rsidR="00EE2C45">
        <w:rPr>
          <w:bCs/>
          <w:lang w:val="en-GB"/>
        </w:rPr>
        <w:t xml:space="preserve">of </w:t>
      </w:r>
      <w:r w:rsidR="00B25AD7" w:rsidRPr="00B25AD7">
        <w:rPr>
          <w:bCs/>
          <w:lang w:val="en-GB"/>
        </w:rPr>
        <w:t>202</w:t>
      </w:r>
      <w:r w:rsidR="00EE2C45">
        <w:rPr>
          <w:bCs/>
          <w:lang w:val="en-GB"/>
        </w:rPr>
        <w:t>3</w:t>
      </w:r>
      <w:r w:rsidR="00B25AD7" w:rsidRPr="00B25AD7">
        <w:rPr>
          <w:bCs/>
          <w:lang w:val="en-GB"/>
        </w:rPr>
        <w:t xml:space="preserve"> </w:t>
      </w:r>
      <w:r w:rsidRPr="0045063E">
        <w:rPr>
          <w:bCs/>
          <w:lang w:val="en-GB"/>
        </w:rPr>
        <w:t>in Brussels.</w:t>
      </w:r>
    </w:p>
    <w:p w:rsidR="00DF431E" w:rsidRDefault="00DF431E" w:rsidP="007211D7">
      <w:pPr>
        <w:tabs>
          <w:tab w:val="left" w:pos="851"/>
        </w:tabs>
        <w:jc w:val="both"/>
        <w:rPr>
          <w:bCs/>
          <w:lang w:val="en-GB"/>
        </w:rPr>
      </w:pPr>
    </w:p>
    <w:p w:rsidR="003B1E81" w:rsidRDefault="003B1E81" w:rsidP="007211D7">
      <w:pPr>
        <w:tabs>
          <w:tab w:val="left" w:pos="851"/>
        </w:tabs>
        <w:jc w:val="both"/>
        <w:rPr>
          <w:bCs/>
          <w:lang w:val="en-GB"/>
        </w:rPr>
      </w:pPr>
    </w:p>
    <w:p w:rsidR="007211D7" w:rsidRPr="007211D7" w:rsidRDefault="0080098D" w:rsidP="007211D7">
      <w:pPr>
        <w:tabs>
          <w:tab w:val="left" w:pos="851"/>
        </w:tabs>
        <w:jc w:val="both"/>
        <w:rPr>
          <w:bCs/>
          <w:lang w:val="en-GB"/>
        </w:rPr>
      </w:pPr>
      <w:r>
        <w:rPr>
          <w:bCs/>
          <w:lang w:val="en-GB"/>
        </w:rPr>
        <w:t>Jasmin O</w:t>
      </w:r>
      <w:r w:rsidR="00800C0C">
        <w:rPr>
          <w:bCs/>
          <w:lang w:val="en-GB"/>
        </w:rPr>
        <w:t>m</w:t>
      </w:r>
      <w:r>
        <w:rPr>
          <w:bCs/>
          <w:lang w:val="en-GB"/>
        </w:rPr>
        <w:t>erovic</w:t>
      </w:r>
    </w:p>
    <w:p w:rsidR="009B1005" w:rsidRDefault="007211D7">
      <w:pPr>
        <w:tabs>
          <w:tab w:val="left" w:pos="851"/>
        </w:tabs>
        <w:jc w:val="both"/>
        <w:rPr>
          <w:bCs/>
          <w:lang w:val="en-GB"/>
        </w:rPr>
      </w:pPr>
      <w:r w:rsidRPr="007211D7">
        <w:rPr>
          <w:bCs/>
          <w:lang w:val="en-GB"/>
        </w:rPr>
        <w:t>ExNBG Chair</w:t>
      </w:r>
    </w:p>
    <w:sectPr w:rsidR="009B1005" w:rsidSect="00FC3E0B">
      <w:headerReference w:type="default" r:id="rId8"/>
      <w:headerReference w:type="first" r:id="rId9"/>
      <w:footerReference w:type="first" r:id="rId10"/>
      <w:pgSz w:w="11907" w:h="16840" w:code="9"/>
      <w:pgMar w:top="2092" w:right="1418" w:bottom="993" w:left="1418" w:header="567" w:footer="567" w:gutter="0"/>
      <w:paperSrc w:first="1" w:other="1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455D" w:rsidRDefault="0088455D">
      <w:r>
        <w:separator/>
      </w:r>
    </w:p>
  </w:endnote>
  <w:endnote w:type="continuationSeparator" w:id="0">
    <w:p w:rsidR="0088455D" w:rsidRDefault="0088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603C" w:rsidRDefault="006D603C">
    <w:pPr>
      <w:pStyle w:val="Footer"/>
      <w:rPr>
        <w:sz w:val="12"/>
        <w:lang w:val="en-GB"/>
      </w:rPr>
    </w:pPr>
  </w:p>
  <w:p w:rsidR="006D603C" w:rsidRDefault="006D603C">
    <w:pPr>
      <w:pStyle w:val="Footer"/>
      <w:rPr>
        <w:b/>
        <w:sz w:val="12"/>
        <w:lang w:val="en-GB"/>
      </w:rPr>
    </w:pPr>
    <w:r>
      <w:rPr>
        <w:b/>
        <w:sz w:val="12"/>
        <w:u w:val="single"/>
        <w:lang w:val="en-GB"/>
      </w:rPr>
      <w:tab/>
    </w:r>
    <w:r>
      <w:rPr>
        <w:b/>
        <w:sz w:val="12"/>
        <w:u w:val="single"/>
        <w:lang w:val="en-GB"/>
      </w:rPr>
      <w:tab/>
    </w:r>
    <w:r>
      <w:rPr>
        <w:b/>
        <w:sz w:val="12"/>
        <w:u w:val="single"/>
        <w:lang w:val="en-GB"/>
      </w:rPr>
      <w:tab/>
    </w:r>
    <w:r>
      <w:rPr>
        <w:b/>
        <w:sz w:val="12"/>
        <w:u w:val="single"/>
        <w:lang w:val="en-GB"/>
      </w:rPr>
      <w:tab/>
    </w:r>
  </w:p>
  <w:p w:rsidR="006D603C" w:rsidRDefault="006D603C">
    <w:pPr>
      <w:pStyle w:val="Footer"/>
      <w:tabs>
        <w:tab w:val="clear" w:pos="4819"/>
        <w:tab w:val="clear" w:pos="9071"/>
      </w:tabs>
      <w:rPr>
        <w:sz w:val="12"/>
        <w:lang w:val="en-GB"/>
      </w:rPr>
    </w:pPr>
  </w:p>
  <w:p w:rsidR="006D603C" w:rsidRDefault="006D603C">
    <w:pPr>
      <w:pStyle w:val="Header"/>
      <w:tabs>
        <w:tab w:val="clear" w:pos="4819"/>
        <w:tab w:val="clear" w:pos="9071"/>
      </w:tabs>
      <w:rPr>
        <w:sz w:val="22"/>
        <w:lang w:val="en-GB"/>
      </w:rPr>
    </w:pPr>
    <w:r>
      <w:rPr>
        <w:sz w:val="12"/>
        <w:lang w:val="en-GB"/>
      </w:rPr>
      <w:tab/>
    </w:r>
    <w:r>
      <w:rPr>
        <w:b/>
        <w:sz w:val="22"/>
        <w:lang w:val="en-GB"/>
      </w:rPr>
      <w:t>Original in English / Document to be translated into French and German</w:t>
    </w:r>
  </w:p>
  <w:p w:rsidR="006D603C" w:rsidRDefault="006D603C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455D" w:rsidRDefault="0088455D">
      <w:r>
        <w:separator/>
      </w:r>
    </w:p>
  </w:footnote>
  <w:footnote w:type="continuationSeparator" w:id="0">
    <w:p w:rsidR="0088455D" w:rsidRDefault="00884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4961"/>
      <w:gridCol w:w="2835"/>
    </w:tblGrid>
    <w:tr w:rsidR="004B5C85" w:rsidTr="00816012">
      <w:tblPrEx>
        <w:tblCellMar>
          <w:top w:w="0" w:type="dxa"/>
          <w:bottom w:w="0" w:type="dxa"/>
        </w:tblCellMar>
      </w:tblPrEx>
      <w:trPr>
        <w:cantSplit/>
      </w:trPr>
      <w:tc>
        <w:tcPr>
          <w:tcW w:w="9426" w:type="dxa"/>
          <w:gridSpan w:val="3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4B5C85" w:rsidRDefault="0088455D" w:rsidP="004B5C85">
          <w:pPr>
            <w:pStyle w:val="Header"/>
            <w:rPr>
              <w:b/>
              <w:sz w:val="22"/>
              <w:lang w:val="en-GB"/>
            </w:rPr>
          </w:pPr>
          <w:r w:rsidRPr="005C2D04">
            <w:rPr>
              <w:noProof/>
            </w:rPr>
            <w:drawing>
              <wp:inline distT="0" distB="0" distL="0" distR="0" wp14:anchorId="5FF0CE15">
                <wp:extent cx="755650" cy="647700"/>
                <wp:effectExtent l="0" t="0" r="0" b="0"/>
                <wp:docPr id="9" name="Picture 1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B5C85" w:rsidRPr="004B5C85">
            <w:rPr>
              <w:b/>
              <w:sz w:val="22"/>
              <w:lang w:val="en-GB"/>
            </w:rPr>
            <w:tab/>
          </w:r>
        </w:p>
        <w:p w:rsidR="004B5C85" w:rsidRPr="004B5C85" w:rsidRDefault="004B5C85" w:rsidP="004B5C85">
          <w:pPr>
            <w:pStyle w:val="Header"/>
            <w:jc w:val="right"/>
            <w:rPr>
              <w:b/>
              <w:sz w:val="22"/>
              <w:lang w:val="en-GB"/>
            </w:rPr>
          </w:pPr>
          <w:r w:rsidRPr="004B5C85">
            <w:rPr>
              <w:b/>
              <w:sz w:val="22"/>
              <w:lang w:val="en-GB"/>
            </w:rPr>
            <w:t>ExMC (2022 Remote/</w:t>
          </w:r>
          <w:r>
            <w:rPr>
              <w:b/>
              <w:sz w:val="22"/>
              <w:lang w:val="en-GB"/>
            </w:rPr>
            <w:t>ExNB</w:t>
          </w:r>
          <w:r w:rsidRPr="004B5C85">
            <w:rPr>
              <w:b/>
              <w:sz w:val="22"/>
              <w:lang w:val="en-GB"/>
            </w:rPr>
            <w:t xml:space="preserve"> Report)0</w:t>
          </w:r>
          <w:r>
            <w:rPr>
              <w:b/>
              <w:sz w:val="22"/>
              <w:lang w:val="en-GB"/>
            </w:rPr>
            <w:t>2</w:t>
          </w:r>
        </w:p>
        <w:p w:rsidR="004B5C85" w:rsidRPr="004B5C85" w:rsidRDefault="004B5C85" w:rsidP="004B5C85">
          <w:pPr>
            <w:pStyle w:val="Header"/>
            <w:jc w:val="right"/>
            <w:rPr>
              <w:b/>
              <w:sz w:val="22"/>
              <w:lang w:val="en-GB"/>
            </w:rPr>
          </w:pPr>
          <w:r w:rsidRPr="004B5C85">
            <w:rPr>
              <w:b/>
              <w:sz w:val="22"/>
              <w:lang w:val="en-GB"/>
            </w:rPr>
            <w:t>September 2022</w:t>
          </w:r>
        </w:p>
        <w:p w:rsidR="004B5C85" w:rsidRDefault="004B5C85">
          <w:pPr>
            <w:pStyle w:val="Header"/>
            <w:jc w:val="center"/>
            <w:rPr>
              <w:b/>
              <w:sz w:val="22"/>
              <w:lang w:val="en-GB"/>
            </w:rPr>
          </w:pPr>
        </w:p>
      </w:tc>
    </w:tr>
    <w:tr w:rsidR="006D603C" w:rsidTr="009D3BFF">
      <w:tblPrEx>
        <w:tblCellMar>
          <w:top w:w="0" w:type="dxa"/>
          <w:bottom w:w="0" w:type="dxa"/>
        </w:tblCellMar>
      </w:tblPrEx>
      <w:trPr>
        <w:cantSplit/>
      </w:trPr>
      <w:tc>
        <w:tcPr>
          <w:tcW w:w="163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6D603C" w:rsidRDefault="006D603C">
          <w:pPr>
            <w:pStyle w:val="Header"/>
            <w:rPr>
              <w:sz w:val="22"/>
            </w:rPr>
          </w:pPr>
        </w:p>
        <w:p w:rsidR="006D603C" w:rsidRDefault="006D603C">
          <w:pPr>
            <w:pStyle w:val="Header"/>
            <w:rPr>
              <w:sz w:val="22"/>
            </w:rPr>
          </w:pPr>
        </w:p>
        <w:p w:rsidR="006D603C" w:rsidRDefault="006D603C">
          <w:pPr>
            <w:pStyle w:val="Header"/>
            <w:jc w:val="center"/>
            <w:rPr>
              <w:b/>
              <w:sz w:val="22"/>
              <w:lang w:val="en-GB"/>
            </w:rPr>
          </w:pPr>
          <w:r>
            <w:rPr>
              <w:b/>
              <w:sz w:val="28"/>
              <w:lang w:val="en-GB"/>
            </w:rPr>
            <w:t>ExNB</w:t>
          </w:r>
          <w:r w:rsidR="0017796B">
            <w:rPr>
              <w:b/>
              <w:sz w:val="28"/>
              <w:lang w:val="en-GB"/>
            </w:rPr>
            <w:t>G</w:t>
          </w:r>
        </w:p>
        <w:p w:rsidR="006D603C" w:rsidRDefault="006D603C">
          <w:pPr>
            <w:pStyle w:val="Header"/>
            <w:jc w:val="center"/>
            <w:rPr>
              <w:sz w:val="22"/>
              <w:lang w:val="en-GB"/>
            </w:rPr>
          </w:pPr>
        </w:p>
        <w:p w:rsidR="006D603C" w:rsidRDefault="006D603C">
          <w:pPr>
            <w:pStyle w:val="Header"/>
            <w:jc w:val="center"/>
            <w:rPr>
              <w:sz w:val="22"/>
              <w:lang w:val="en-GB"/>
            </w:rPr>
          </w:pPr>
        </w:p>
      </w:tc>
      <w:tc>
        <w:tcPr>
          <w:tcW w:w="4961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6D603C" w:rsidRDefault="006D603C">
          <w:pPr>
            <w:pStyle w:val="Header"/>
            <w:spacing w:line="360" w:lineRule="atLeast"/>
            <w:jc w:val="center"/>
            <w:rPr>
              <w:b/>
              <w:sz w:val="22"/>
              <w:lang w:val="en-GB"/>
            </w:rPr>
          </w:pPr>
          <w:r>
            <w:rPr>
              <w:b/>
              <w:sz w:val="22"/>
              <w:lang w:val="en-GB"/>
            </w:rPr>
            <w:t>Co-ordination of</w:t>
          </w:r>
        </w:p>
        <w:p w:rsidR="006D603C" w:rsidRDefault="006D603C">
          <w:pPr>
            <w:pStyle w:val="Header"/>
            <w:jc w:val="center"/>
            <w:rPr>
              <w:b/>
              <w:sz w:val="22"/>
              <w:lang w:val="en-GB"/>
            </w:rPr>
          </w:pPr>
          <w:r>
            <w:rPr>
              <w:b/>
              <w:sz w:val="22"/>
              <w:lang w:val="en-GB"/>
            </w:rPr>
            <w:t>Notified Bodies</w:t>
          </w:r>
          <w:r w:rsidR="003A4889">
            <w:rPr>
              <w:b/>
              <w:sz w:val="22"/>
              <w:lang w:val="en-GB"/>
            </w:rPr>
            <w:br/>
          </w:r>
          <w:r>
            <w:rPr>
              <w:b/>
              <w:sz w:val="22"/>
              <w:lang w:val="en-GB"/>
            </w:rPr>
            <w:t xml:space="preserve">Equipment for use in potentially explosive atmospheres on Council Directive </w:t>
          </w:r>
        </w:p>
        <w:p w:rsidR="006D603C" w:rsidRDefault="004F676C">
          <w:pPr>
            <w:pStyle w:val="Header"/>
            <w:jc w:val="center"/>
            <w:rPr>
              <w:sz w:val="22"/>
              <w:lang w:val="en-GB"/>
            </w:rPr>
          </w:pPr>
          <w:r>
            <w:rPr>
              <w:b/>
              <w:sz w:val="22"/>
              <w:lang w:val="en-GB"/>
            </w:rPr>
            <w:t>2014/34/EU</w:t>
          </w:r>
          <w:r w:rsidR="006D603C">
            <w:rPr>
              <w:b/>
              <w:sz w:val="22"/>
              <w:lang w:val="en-GB"/>
            </w:rPr>
            <w:t xml:space="preserve"> (ATEX)</w:t>
          </w:r>
        </w:p>
      </w:tc>
      <w:tc>
        <w:tcPr>
          <w:tcW w:w="2835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6D603C" w:rsidRDefault="006D603C">
          <w:pPr>
            <w:pStyle w:val="Header"/>
            <w:jc w:val="center"/>
            <w:rPr>
              <w:b/>
              <w:sz w:val="22"/>
              <w:lang w:val="en-GB"/>
            </w:rPr>
          </w:pPr>
        </w:p>
        <w:p w:rsidR="00CC7D42" w:rsidRDefault="004F676C" w:rsidP="00CC7D42">
          <w:pPr>
            <w:pStyle w:val="Header"/>
            <w:jc w:val="center"/>
            <w:rPr>
              <w:b/>
              <w:sz w:val="22"/>
              <w:lang w:val="en-GB"/>
            </w:rPr>
          </w:pPr>
          <w:r>
            <w:rPr>
              <w:b/>
              <w:sz w:val="22"/>
              <w:lang w:val="en-GB"/>
            </w:rPr>
            <w:t>2</w:t>
          </w:r>
          <w:r w:rsidR="0080098D">
            <w:rPr>
              <w:b/>
              <w:sz w:val="22"/>
              <w:lang w:val="en-GB"/>
            </w:rPr>
            <w:t>5</w:t>
          </w:r>
          <w:r w:rsidR="0080098D" w:rsidRPr="0080098D">
            <w:rPr>
              <w:b/>
              <w:sz w:val="22"/>
              <w:vertAlign w:val="superscript"/>
              <w:lang w:val="en-GB"/>
            </w:rPr>
            <w:t>th</w:t>
          </w:r>
          <w:r w:rsidR="0080098D">
            <w:rPr>
              <w:b/>
              <w:sz w:val="22"/>
              <w:lang w:val="en-GB"/>
            </w:rPr>
            <w:t xml:space="preserve"> </w:t>
          </w:r>
          <w:r w:rsidR="00CC7D42">
            <w:rPr>
              <w:b/>
              <w:sz w:val="22"/>
              <w:lang w:val="en-GB"/>
            </w:rPr>
            <w:t>ExNB</w:t>
          </w:r>
          <w:r w:rsidR="0017796B">
            <w:rPr>
              <w:b/>
              <w:sz w:val="22"/>
              <w:lang w:val="en-GB"/>
            </w:rPr>
            <w:t>G</w:t>
          </w:r>
          <w:r w:rsidR="00CC7D42">
            <w:rPr>
              <w:b/>
              <w:sz w:val="22"/>
              <w:lang w:val="en-GB"/>
            </w:rPr>
            <w:t>-Meeting</w:t>
          </w:r>
        </w:p>
        <w:p w:rsidR="006D603C" w:rsidRDefault="0080098D" w:rsidP="00C332A5">
          <w:pPr>
            <w:pStyle w:val="Header"/>
            <w:jc w:val="center"/>
            <w:rPr>
              <w:position w:val="-6"/>
              <w:sz w:val="22"/>
            </w:rPr>
          </w:pPr>
          <w:r>
            <w:rPr>
              <w:b/>
              <w:sz w:val="22"/>
              <w:lang w:val="en-GB"/>
            </w:rPr>
            <w:t>May</w:t>
          </w:r>
          <w:r w:rsidR="009D3BFF" w:rsidRPr="009D3BFF">
            <w:rPr>
              <w:b/>
              <w:sz w:val="22"/>
              <w:lang w:val="en-GB"/>
            </w:rPr>
            <w:t xml:space="preserve"> </w:t>
          </w:r>
          <w:r>
            <w:rPr>
              <w:b/>
              <w:sz w:val="22"/>
              <w:lang w:val="en-GB"/>
            </w:rPr>
            <w:t>2</w:t>
          </w:r>
          <w:r w:rsidR="009D3BFF" w:rsidRPr="009D3BFF">
            <w:rPr>
              <w:b/>
              <w:sz w:val="22"/>
              <w:lang w:val="en-GB"/>
            </w:rPr>
            <w:t>5</w:t>
          </w:r>
          <w:r w:rsidR="009D3BFF" w:rsidRPr="009D3BFF">
            <w:rPr>
              <w:b/>
              <w:sz w:val="22"/>
              <w:vertAlign w:val="superscript"/>
              <w:lang w:val="en-GB"/>
            </w:rPr>
            <w:t>th</w:t>
          </w:r>
          <w:r w:rsidR="009D3BFF" w:rsidRPr="009D3BFF">
            <w:rPr>
              <w:b/>
              <w:sz w:val="22"/>
              <w:lang w:val="en-GB"/>
            </w:rPr>
            <w:t>, 202</w:t>
          </w:r>
          <w:r w:rsidR="00D23DD5">
            <w:rPr>
              <w:b/>
              <w:sz w:val="22"/>
              <w:lang w:val="en-GB"/>
            </w:rPr>
            <w:t>2</w:t>
          </w:r>
          <w:r w:rsidR="00C332A5">
            <w:rPr>
              <w:b/>
              <w:sz w:val="22"/>
              <w:lang w:val="en-GB"/>
            </w:rPr>
            <w:br/>
          </w:r>
          <w:r w:rsidR="00D23DD5">
            <w:rPr>
              <w:b/>
              <w:sz w:val="22"/>
              <w:lang w:val="en-GB"/>
            </w:rPr>
            <w:t>Online</w:t>
          </w:r>
        </w:p>
      </w:tc>
    </w:tr>
  </w:tbl>
  <w:p w:rsidR="006D603C" w:rsidRPr="00FC3E0B" w:rsidRDefault="006D603C" w:rsidP="00FC3E0B">
    <w:pPr>
      <w:pStyle w:val="Head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103"/>
      <w:gridCol w:w="2947"/>
    </w:tblGrid>
    <w:tr w:rsidR="006D603C">
      <w:tblPrEx>
        <w:tblCellMar>
          <w:top w:w="0" w:type="dxa"/>
          <w:bottom w:w="0" w:type="dxa"/>
        </w:tblCellMar>
      </w:tblPrEx>
      <w:trPr>
        <w:cantSplit/>
      </w:trPr>
      <w:tc>
        <w:tcPr>
          <w:tcW w:w="198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6D603C" w:rsidRDefault="006D603C">
          <w:pPr>
            <w:pStyle w:val="Header"/>
            <w:rPr>
              <w:sz w:val="22"/>
            </w:rPr>
          </w:pPr>
        </w:p>
        <w:p w:rsidR="006D603C" w:rsidRDefault="006D603C">
          <w:pPr>
            <w:pStyle w:val="Header"/>
            <w:rPr>
              <w:sz w:val="22"/>
            </w:rPr>
          </w:pPr>
        </w:p>
        <w:p w:rsidR="006D603C" w:rsidRDefault="006D603C">
          <w:pPr>
            <w:pStyle w:val="Header"/>
            <w:jc w:val="center"/>
            <w:rPr>
              <w:b/>
              <w:sz w:val="22"/>
              <w:lang w:val="en-GB"/>
            </w:rPr>
          </w:pPr>
          <w:r>
            <w:rPr>
              <w:b/>
              <w:sz w:val="28"/>
              <w:lang w:val="en-GB"/>
            </w:rPr>
            <w:t>ExNB</w:t>
          </w:r>
        </w:p>
        <w:p w:rsidR="006D603C" w:rsidRDefault="006D603C">
          <w:pPr>
            <w:pStyle w:val="Header"/>
            <w:jc w:val="center"/>
            <w:rPr>
              <w:sz w:val="22"/>
              <w:lang w:val="en-GB"/>
            </w:rPr>
          </w:pPr>
        </w:p>
        <w:p w:rsidR="006D603C" w:rsidRDefault="006D603C">
          <w:pPr>
            <w:pStyle w:val="Header"/>
            <w:jc w:val="center"/>
            <w:rPr>
              <w:sz w:val="22"/>
              <w:lang w:val="en-GB"/>
            </w:rPr>
          </w:pPr>
        </w:p>
      </w:tc>
      <w:tc>
        <w:tcPr>
          <w:tcW w:w="5103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6D603C" w:rsidRDefault="006D603C">
          <w:pPr>
            <w:pStyle w:val="Header"/>
            <w:spacing w:line="360" w:lineRule="atLeast"/>
            <w:jc w:val="center"/>
            <w:rPr>
              <w:b/>
              <w:sz w:val="22"/>
              <w:lang w:val="en-GB"/>
            </w:rPr>
          </w:pPr>
          <w:r>
            <w:rPr>
              <w:b/>
              <w:sz w:val="22"/>
              <w:lang w:val="en-GB"/>
            </w:rPr>
            <w:t>Co-ordination of</w:t>
          </w:r>
        </w:p>
        <w:p w:rsidR="006D603C" w:rsidRDefault="006D603C">
          <w:pPr>
            <w:pStyle w:val="Header"/>
            <w:jc w:val="center"/>
            <w:rPr>
              <w:b/>
              <w:sz w:val="22"/>
              <w:lang w:val="en-GB"/>
            </w:rPr>
          </w:pPr>
          <w:r>
            <w:rPr>
              <w:b/>
              <w:sz w:val="22"/>
              <w:lang w:val="en-GB"/>
            </w:rPr>
            <w:t xml:space="preserve">Notified Bodies Equipment </w:t>
          </w:r>
        </w:p>
        <w:p w:rsidR="006D603C" w:rsidRDefault="006D603C">
          <w:pPr>
            <w:pStyle w:val="Header"/>
            <w:jc w:val="center"/>
            <w:rPr>
              <w:b/>
              <w:sz w:val="22"/>
              <w:lang w:val="en-GB"/>
            </w:rPr>
          </w:pPr>
          <w:r>
            <w:rPr>
              <w:b/>
              <w:sz w:val="22"/>
              <w:lang w:val="en-GB"/>
            </w:rPr>
            <w:t xml:space="preserve">for use in potentially explosive atmospheres </w:t>
          </w:r>
        </w:p>
        <w:p w:rsidR="006D603C" w:rsidRDefault="006D603C">
          <w:pPr>
            <w:pStyle w:val="Header"/>
            <w:jc w:val="center"/>
            <w:rPr>
              <w:b/>
              <w:sz w:val="22"/>
              <w:lang w:val="en-GB"/>
            </w:rPr>
          </w:pPr>
          <w:r>
            <w:rPr>
              <w:b/>
              <w:sz w:val="22"/>
              <w:lang w:val="en-GB"/>
            </w:rPr>
            <w:t xml:space="preserve">on Council Directive </w:t>
          </w:r>
        </w:p>
        <w:p w:rsidR="006D603C" w:rsidRDefault="006D603C">
          <w:pPr>
            <w:pStyle w:val="Header"/>
            <w:jc w:val="center"/>
            <w:rPr>
              <w:sz w:val="22"/>
              <w:lang w:val="en-GB"/>
            </w:rPr>
          </w:pPr>
          <w:r>
            <w:rPr>
              <w:b/>
              <w:sz w:val="22"/>
              <w:lang w:val="en-GB"/>
            </w:rPr>
            <w:t>94/9/EC (ATEX)</w:t>
          </w:r>
        </w:p>
      </w:tc>
      <w:tc>
        <w:tcPr>
          <w:tcW w:w="2947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:rsidR="006D603C" w:rsidRDefault="006D603C">
          <w:pPr>
            <w:pStyle w:val="Header"/>
            <w:jc w:val="center"/>
            <w:rPr>
              <w:b/>
              <w:sz w:val="22"/>
              <w:lang w:val="en-GB"/>
            </w:rPr>
          </w:pPr>
        </w:p>
        <w:p w:rsidR="006D603C" w:rsidRDefault="006D603C">
          <w:pPr>
            <w:pStyle w:val="Header"/>
            <w:jc w:val="center"/>
            <w:rPr>
              <w:b/>
              <w:sz w:val="22"/>
              <w:lang w:val="en-GB"/>
            </w:rPr>
          </w:pPr>
          <w:r>
            <w:rPr>
              <w:b/>
              <w:sz w:val="22"/>
              <w:lang w:val="en-GB"/>
            </w:rPr>
            <w:t>14th ExNB-Meeting</w:t>
          </w:r>
        </w:p>
        <w:p w:rsidR="006D603C" w:rsidRDefault="006D603C">
          <w:pPr>
            <w:pStyle w:val="Header"/>
            <w:jc w:val="center"/>
            <w:rPr>
              <w:b/>
              <w:sz w:val="22"/>
              <w:lang w:val="en-GB"/>
            </w:rPr>
          </w:pPr>
          <w:r>
            <w:rPr>
              <w:b/>
              <w:sz w:val="22"/>
              <w:lang w:val="en-GB"/>
            </w:rPr>
            <w:t>17/18 November 2010</w:t>
          </w:r>
        </w:p>
        <w:p w:rsidR="006D603C" w:rsidRDefault="006D603C">
          <w:pPr>
            <w:pStyle w:val="Header"/>
            <w:jc w:val="center"/>
            <w:rPr>
              <w:b/>
              <w:sz w:val="22"/>
              <w:lang w:val="en-GB"/>
            </w:rPr>
          </w:pPr>
          <w:smartTag w:uri="urn:schemas-microsoft-com:office:smarttags" w:element="City">
            <w:smartTag w:uri="urn:schemas-microsoft-com:office:smarttags" w:element="place">
              <w:r>
                <w:rPr>
                  <w:b/>
                  <w:sz w:val="22"/>
                  <w:lang w:val="en-GB"/>
                </w:rPr>
                <w:t>Brussels</w:t>
              </w:r>
            </w:smartTag>
          </w:smartTag>
        </w:p>
        <w:p w:rsidR="006D603C" w:rsidRDefault="006D603C">
          <w:pPr>
            <w:pStyle w:val="Header"/>
            <w:jc w:val="center"/>
            <w:rPr>
              <w:position w:val="-6"/>
              <w:sz w:val="22"/>
              <w:lang w:val="en-GB"/>
            </w:rPr>
          </w:pPr>
        </w:p>
      </w:tc>
    </w:tr>
  </w:tbl>
  <w:p w:rsidR="006D603C" w:rsidRDefault="006D603C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7950"/>
    <w:multiLevelType w:val="hybridMultilevel"/>
    <w:tmpl w:val="9A2C30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751A3"/>
    <w:multiLevelType w:val="hybridMultilevel"/>
    <w:tmpl w:val="2772B57E"/>
    <w:lvl w:ilvl="0" w:tplc="417EE42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F1088E"/>
    <w:multiLevelType w:val="hybridMultilevel"/>
    <w:tmpl w:val="747ADCDA"/>
    <w:lvl w:ilvl="0" w:tplc="8C1EBB5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E462D"/>
    <w:multiLevelType w:val="multilevel"/>
    <w:tmpl w:val="EEE67A8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14179E"/>
    <w:multiLevelType w:val="hybridMultilevel"/>
    <w:tmpl w:val="9E4688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4F63"/>
    <w:multiLevelType w:val="hybridMultilevel"/>
    <w:tmpl w:val="8EE695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44067"/>
    <w:multiLevelType w:val="hybridMultilevel"/>
    <w:tmpl w:val="EA5090E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A5E70"/>
    <w:multiLevelType w:val="hybridMultilevel"/>
    <w:tmpl w:val="64D0FF3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A492F"/>
    <w:multiLevelType w:val="hybridMultilevel"/>
    <w:tmpl w:val="B098453E"/>
    <w:lvl w:ilvl="0" w:tplc="E4BCC60E">
      <w:start w:val="1"/>
      <w:numFmt w:val="bullet"/>
      <w:lvlText w:val=""/>
      <w:lvlJc w:val="left"/>
      <w:pPr>
        <w:tabs>
          <w:tab w:val="num" w:pos="68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93186"/>
    <w:multiLevelType w:val="hybridMultilevel"/>
    <w:tmpl w:val="362EFB0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B2C8E"/>
    <w:multiLevelType w:val="hybridMultilevel"/>
    <w:tmpl w:val="E0C6B7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F097E"/>
    <w:multiLevelType w:val="hybridMultilevel"/>
    <w:tmpl w:val="D0A60A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53AA7"/>
    <w:multiLevelType w:val="multilevel"/>
    <w:tmpl w:val="79B4922C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A6C2FE3"/>
    <w:multiLevelType w:val="hybridMultilevel"/>
    <w:tmpl w:val="C8EA3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77C1D"/>
    <w:multiLevelType w:val="hybridMultilevel"/>
    <w:tmpl w:val="92FC32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E22BC"/>
    <w:multiLevelType w:val="hybridMultilevel"/>
    <w:tmpl w:val="77E6293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60587"/>
    <w:multiLevelType w:val="hybridMultilevel"/>
    <w:tmpl w:val="726CF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30FA7"/>
    <w:multiLevelType w:val="hybridMultilevel"/>
    <w:tmpl w:val="36EA38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612A5"/>
    <w:multiLevelType w:val="multilevel"/>
    <w:tmpl w:val="DA2ED21C"/>
    <w:lvl w:ilvl="0">
      <w:start w:val="5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C715F9C"/>
    <w:multiLevelType w:val="hybridMultilevel"/>
    <w:tmpl w:val="804EAB56"/>
    <w:lvl w:ilvl="0" w:tplc="A6DCBC3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6"/>
  </w:num>
  <w:num w:numId="3">
    <w:abstractNumId w:val="11"/>
  </w:num>
  <w:num w:numId="4">
    <w:abstractNumId w:val="10"/>
  </w:num>
  <w:num w:numId="5">
    <w:abstractNumId w:val="4"/>
  </w:num>
  <w:num w:numId="6">
    <w:abstractNumId w:val="0"/>
  </w:num>
  <w:num w:numId="7">
    <w:abstractNumId w:val="9"/>
  </w:num>
  <w:num w:numId="8">
    <w:abstractNumId w:val="5"/>
  </w:num>
  <w:num w:numId="9">
    <w:abstractNumId w:val="12"/>
  </w:num>
  <w:num w:numId="10">
    <w:abstractNumId w:val="15"/>
  </w:num>
  <w:num w:numId="11">
    <w:abstractNumId w:val="3"/>
  </w:num>
  <w:num w:numId="12">
    <w:abstractNumId w:val="18"/>
  </w:num>
  <w:num w:numId="13">
    <w:abstractNumId w:val="7"/>
  </w:num>
  <w:num w:numId="14">
    <w:abstractNumId w:val="14"/>
  </w:num>
  <w:num w:numId="15">
    <w:abstractNumId w:val="8"/>
  </w:num>
  <w:num w:numId="16">
    <w:abstractNumId w:val="19"/>
  </w:num>
  <w:num w:numId="17">
    <w:abstractNumId w:val="1"/>
  </w:num>
  <w:num w:numId="18">
    <w:abstractNumId w:val="16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D82D6B"/>
    <w:rsid w:val="0000242F"/>
    <w:rsid w:val="00005DAD"/>
    <w:rsid w:val="00007E3E"/>
    <w:rsid w:val="00017F26"/>
    <w:rsid w:val="00023A11"/>
    <w:rsid w:val="00030851"/>
    <w:rsid w:val="00031C4E"/>
    <w:rsid w:val="00031FB7"/>
    <w:rsid w:val="00034CBF"/>
    <w:rsid w:val="00035857"/>
    <w:rsid w:val="0004408C"/>
    <w:rsid w:val="00051A44"/>
    <w:rsid w:val="0005247A"/>
    <w:rsid w:val="00054852"/>
    <w:rsid w:val="00055766"/>
    <w:rsid w:val="00072390"/>
    <w:rsid w:val="00074FE9"/>
    <w:rsid w:val="00077F97"/>
    <w:rsid w:val="000803C9"/>
    <w:rsid w:val="00081D3A"/>
    <w:rsid w:val="000823A4"/>
    <w:rsid w:val="000C065A"/>
    <w:rsid w:val="000D0566"/>
    <w:rsid w:val="000F145F"/>
    <w:rsid w:val="000F37CC"/>
    <w:rsid w:val="001012F0"/>
    <w:rsid w:val="00127EEF"/>
    <w:rsid w:val="001310D1"/>
    <w:rsid w:val="0013259C"/>
    <w:rsid w:val="00133870"/>
    <w:rsid w:val="00134653"/>
    <w:rsid w:val="00161A29"/>
    <w:rsid w:val="00171F23"/>
    <w:rsid w:val="00173ED4"/>
    <w:rsid w:val="0017796B"/>
    <w:rsid w:val="00184A19"/>
    <w:rsid w:val="00186A65"/>
    <w:rsid w:val="0018774E"/>
    <w:rsid w:val="00193198"/>
    <w:rsid w:val="001A406C"/>
    <w:rsid w:val="001B645B"/>
    <w:rsid w:val="001C0B16"/>
    <w:rsid w:val="001C783C"/>
    <w:rsid w:val="001D1399"/>
    <w:rsid w:val="00205E55"/>
    <w:rsid w:val="002072A2"/>
    <w:rsid w:val="00233A28"/>
    <w:rsid w:val="0023418A"/>
    <w:rsid w:val="00235E39"/>
    <w:rsid w:val="002421B8"/>
    <w:rsid w:val="0025264A"/>
    <w:rsid w:val="00254C76"/>
    <w:rsid w:val="00264516"/>
    <w:rsid w:val="002A0E61"/>
    <w:rsid w:val="002B0287"/>
    <w:rsid w:val="002B387D"/>
    <w:rsid w:val="002B566B"/>
    <w:rsid w:val="002C16BA"/>
    <w:rsid w:val="002C47B9"/>
    <w:rsid w:val="002D20E3"/>
    <w:rsid w:val="002D53A2"/>
    <w:rsid w:val="002E1B16"/>
    <w:rsid w:val="002E1E56"/>
    <w:rsid w:val="002E32EB"/>
    <w:rsid w:val="002E4A20"/>
    <w:rsid w:val="002F67B1"/>
    <w:rsid w:val="0031221F"/>
    <w:rsid w:val="00314028"/>
    <w:rsid w:val="00322EB6"/>
    <w:rsid w:val="003238E9"/>
    <w:rsid w:val="00373BDC"/>
    <w:rsid w:val="00377700"/>
    <w:rsid w:val="00380C6E"/>
    <w:rsid w:val="003A3406"/>
    <w:rsid w:val="003A4889"/>
    <w:rsid w:val="003A684B"/>
    <w:rsid w:val="003B1E81"/>
    <w:rsid w:val="003B3BA4"/>
    <w:rsid w:val="003B41A2"/>
    <w:rsid w:val="003B6CBA"/>
    <w:rsid w:val="003C1751"/>
    <w:rsid w:val="003C4154"/>
    <w:rsid w:val="003E3EDB"/>
    <w:rsid w:val="003F0C06"/>
    <w:rsid w:val="00405F44"/>
    <w:rsid w:val="00432303"/>
    <w:rsid w:val="00436820"/>
    <w:rsid w:val="00437F61"/>
    <w:rsid w:val="00442A81"/>
    <w:rsid w:val="00447222"/>
    <w:rsid w:val="0045063E"/>
    <w:rsid w:val="0045644E"/>
    <w:rsid w:val="0045797F"/>
    <w:rsid w:val="004652CB"/>
    <w:rsid w:val="00466F20"/>
    <w:rsid w:val="00475DEA"/>
    <w:rsid w:val="004A1EF8"/>
    <w:rsid w:val="004A7E12"/>
    <w:rsid w:val="004B1D40"/>
    <w:rsid w:val="004B5C85"/>
    <w:rsid w:val="004D5C8F"/>
    <w:rsid w:val="004E44AB"/>
    <w:rsid w:val="004F5CC2"/>
    <w:rsid w:val="004F676C"/>
    <w:rsid w:val="00502E7B"/>
    <w:rsid w:val="0050560A"/>
    <w:rsid w:val="005068D6"/>
    <w:rsid w:val="00511B54"/>
    <w:rsid w:val="00535872"/>
    <w:rsid w:val="00570675"/>
    <w:rsid w:val="00581519"/>
    <w:rsid w:val="005822D5"/>
    <w:rsid w:val="00582AF6"/>
    <w:rsid w:val="005877D1"/>
    <w:rsid w:val="00592E95"/>
    <w:rsid w:val="005A4FA5"/>
    <w:rsid w:val="005B3E06"/>
    <w:rsid w:val="005C540F"/>
    <w:rsid w:val="005E2DCF"/>
    <w:rsid w:val="005F4924"/>
    <w:rsid w:val="005F6507"/>
    <w:rsid w:val="005F787F"/>
    <w:rsid w:val="0061112D"/>
    <w:rsid w:val="00611220"/>
    <w:rsid w:val="00614445"/>
    <w:rsid w:val="006145B3"/>
    <w:rsid w:val="00617144"/>
    <w:rsid w:val="0062174B"/>
    <w:rsid w:val="00623B30"/>
    <w:rsid w:val="00634573"/>
    <w:rsid w:val="00637B02"/>
    <w:rsid w:val="00650B3C"/>
    <w:rsid w:val="00651EA8"/>
    <w:rsid w:val="00655C54"/>
    <w:rsid w:val="00663F2E"/>
    <w:rsid w:val="0067013D"/>
    <w:rsid w:val="006713A5"/>
    <w:rsid w:val="00677313"/>
    <w:rsid w:val="00685CF9"/>
    <w:rsid w:val="006B0C19"/>
    <w:rsid w:val="006B3572"/>
    <w:rsid w:val="006C226B"/>
    <w:rsid w:val="006C6F26"/>
    <w:rsid w:val="006D2898"/>
    <w:rsid w:val="006D29AD"/>
    <w:rsid w:val="006D3ECE"/>
    <w:rsid w:val="006D45C0"/>
    <w:rsid w:val="006D5870"/>
    <w:rsid w:val="006D603C"/>
    <w:rsid w:val="006D666E"/>
    <w:rsid w:val="006E00ED"/>
    <w:rsid w:val="006E39F5"/>
    <w:rsid w:val="006E3F71"/>
    <w:rsid w:val="0071072B"/>
    <w:rsid w:val="00713DF4"/>
    <w:rsid w:val="007211BE"/>
    <w:rsid w:val="007211D7"/>
    <w:rsid w:val="00774D38"/>
    <w:rsid w:val="00781B01"/>
    <w:rsid w:val="00791F8C"/>
    <w:rsid w:val="0079382E"/>
    <w:rsid w:val="007973CB"/>
    <w:rsid w:val="007A118A"/>
    <w:rsid w:val="007B1F42"/>
    <w:rsid w:val="007B31C9"/>
    <w:rsid w:val="007C6D19"/>
    <w:rsid w:val="007D1B20"/>
    <w:rsid w:val="007D747C"/>
    <w:rsid w:val="007E1CE5"/>
    <w:rsid w:val="007F2868"/>
    <w:rsid w:val="0080098D"/>
    <w:rsid w:val="00800C0C"/>
    <w:rsid w:val="00814FBF"/>
    <w:rsid w:val="00820173"/>
    <w:rsid w:val="0083274B"/>
    <w:rsid w:val="00850B08"/>
    <w:rsid w:val="00875CA0"/>
    <w:rsid w:val="00883393"/>
    <w:rsid w:val="0088455D"/>
    <w:rsid w:val="00887477"/>
    <w:rsid w:val="008C11F2"/>
    <w:rsid w:val="008C11FA"/>
    <w:rsid w:val="008C15F8"/>
    <w:rsid w:val="008D0596"/>
    <w:rsid w:val="008D5F13"/>
    <w:rsid w:val="009048D0"/>
    <w:rsid w:val="00944CBA"/>
    <w:rsid w:val="00951CB7"/>
    <w:rsid w:val="009526CD"/>
    <w:rsid w:val="009536FE"/>
    <w:rsid w:val="00957038"/>
    <w:rsid w:val="0095740D"/>
    <w:rsid w:val="00971F51"/>
    <w:rsid w:val="009A7549"/>
    <w:rsid w:val="009B1005"/>
    <w:rsid w:val="009B1543"/>
    <w:rsid w:val="009B1E2F"/>
    <w:rsid w:val="009B729B"/>
    <w:rsid w:val="009D3BFF"/>
    <w:rsid w:val="009D3DC7"/>
    <w:rsid w:val="009E41DA"/>
    <w:rsid w:val="009F063F"/>
    <w:rsid w:val="009F2305"/>
    <w:rsid w:val="00A04504"/>
    <w:rsid w:val="00A140FB"/>
    <w:rsid w:val="00A168C3"/>
    <w:rsid w:val="00A175C5"/>
    <w:rsid w:val="00A2001D"/>
    <w:rsid w:val="00A227A9"/>
    <w:rsid w:val="00A30354"/>
    <w:rsid w:val="00A367C0"/>
    <w:rsid w:val="00A4213C"/>
    <w:rsid w:val="00A56CB9"/>
    <w:rsid w:val="00A732C5"/>
    <w:rsid w:val="00A83080"/>
    <w:rsid w:val="00A832A0"/>
    <w:rsid w:val="00AA588F"/>
    <w:rsid w:val="00AA714F"/>
    <w:rsid w:val="00AB2F45"/>
    <w:rsid w:val="00AB7E82"/>
    <w:rsid w:val="00AC609B"/>
    <w:rsid w:val="00AE1015"/>
    <w:rsid w:val="00AF2C30"/>
    <w:rsid w:val="00AF4AEB"/>
    <w:rsid w:val="00AF661F"/>
    <w:rsid w:val="00AF7320"/>
    <w:rsid w:val="00B135A1"/>
    <w:rsid w:val="00B22858"/>
    <w:rsid w:val="00B230E8"/>
    <w:rsid w:val="00B25AD7"/>
    <w:rsid w:val="00B25F19"/>
    <w:rsid w:val="00B26525"/>
    <w:rsid w:val="00B4208A"/>
    <w:rsid w:val="00B644ED"/>
    <w:rsid w:val="00BC1413"/>
    <w:rsid w:val="00BC4730"/>
    <w:rsid w:val="00BC5C8A"/>
    <w:rsid w:val="00BE6204"/>
    <w:rsid w:val="00BF1ADD"/>
    <w:rsid w:val="00C251C9"/>
    <w:rsid w:val="00C32435"/>
    <w:rsid w:val="00C332A5"/>
    <w:rsid w:val="00C470DB"/>
    <w:rsid w:val="00C623C4"/>
    <w:rsid w:val="00C7165A"/>
    <w:rsid w:val="00C76553"/>
    <w:rsid w:val="00C85239"/>
    <w:rsid w:val="00C8592A"/>
    <w:rsid w:val="00C9094C"/>
    <w:rsid w:val="00CA1877"/>
    <w:rsid w:val="00CA2D96"/>
    <w:rsid w:val="00CB1EC0"/>
    <w:rsid w:val="00CB2266"/>
    <w:rsid w:val="00CB647F"/>
    <w:rsid w:val="00CB73FC"/>
    <w:rsid w:val="00CC7D42"/>
    <w:rsid w:val="00CD30C8"/>
    <w:rsid w:val="00CD4234"/>
    <w:rsid w:val="00CE20BA"/>
    <w:rsid w:val="00CF08CE"/>
    <w:rsid w:val="00D107E4"/>
    <w:rsid w:val="00D122A1"/>
    <w:rsid w:val="00D13887"/>
    <w:rsid w:val="00D1534E"/>
    <w:rsid w:val="00D156CE"/>
    <w:rsid w:val="00D23DD5"/>
    <w:rsid w:val="00D403C3"/>
    <w:rsid w:val="00D50506"/>
    <w:rsid w:val="00D50B89"/>
    <w:rsid w:val="00D5724F"/>
    <w:rsid w:val="00D602E8"/>
    <w:rsid w:val="00D634CD"/>
    <w:rsid w:val="00D64826"/>
    <w:rsid w:val="00D74552"/>
    <w:rsid w:val="00D81EDD"/>
    <w:rsid w:val="00D82D6B"/>
    <w:rsid w:val="00D8428A"/>
    <w:rsid w:val="00D86688"/>
    <w:rsid w:val="00D97D8D"/>
    <w:rsid w:val="00DA2961"/>
    <w:rsid w:val="00DA4F81"/>
    <w:rsid w:val="00DB1114"/>
    <w:rsid w:val="00DB3902"/>
    <w:rsid w:val="00DD5729"/>
    <w:rsid w:val="00DE1F95"/>
    <w:rsid w:val="00DF2442"/>
    <w:rsid w:val="00DF3800"/>
    <w:rsid w:val="00DF431E"/>
    <w:rsid w:val="00DF579B"/>
    <w:rsid w:val="00E07051"/>
    <w:rsid w:val="00E150A3"/>
    <w:rsid w:val="00E47727"/>
    <w:rsid w:val="00E503AB"/>
    <w:rsid w:val="00E8645E"/>
    <w:rsid w:val="00E87B8E"/>
    <w:rsid w:val="00E969F8"/>
    <w:rsid w:val="00E97809"/>
    <w:rsid w:val="00EA07A4"/>
    <w:rsid w:val="00EB1405"/>
    <w:rsid w:val="00ED07E8"/>
    <w:rsid w:val="00ED3FCF"/>
    <w:rsid w:val="00ED7C67"/>
    <w:rsid w:val="00EE2C45"/>
    <w:rsid w:val="00F10358"/>
    <w:rsid w:val="00F15701"/>
    <w:rsid w:val="00F210FB"/>
    <w:rsid w:val="00F22AAD"/>
    <w:rsid w:val="00F24DFB"/>
    <w:rsid w:val="00F34867"/>
    <w:rsid w:val="00F531DC"/>
    <w:rsid w:val="00F63DD6"/>
    <w:rsid w:val="00F72C6E"/>
    <w:rsid w:val="00F7477A"/>
    <w:rsid w:val="00F8096F"/>
    <w:rsid w:val="00F95ACF"/>
    <w:rsid w:val="00FA295C"/>
    <w:rsid w:val="00FA7DC2"/>
    <w:rsid w:val="00FB0894"/>
    <w:rsid w:val="00FB220D"/>
    <w:rsid w:val="00FC3E0B"/>
    <w:rsid w:val="00FC639B"/>
    <w:rsid w:val="00FC6BF1"/>
    <w:rsid w:val="00FD6696"/>
    <w:rsid w:val="00FE09BA"/>
    <w:rsid w:val="00FE5903"/>
    <w:rsid w:val="00FE6D0F"/>
    <w:rsid w:val="00FE6ED7"/>
    <w:rsid w:val="00FF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731120C4"/>
  <w15:chartTrackingRefBased/>
  <w15:docId w15:val="{E4B6B129-C8F0-43BB-A18B-CE23B5BC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7DC2"/>
    <w:rPr>
      <w:rFonts w:ascii="Arial" w:hAnsi="Arial"/>
      <w:sz w:val="24"/>
      <w:lang w:val="de-DE" w:eastAsia="de-DE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Indent"/>
    <w:qFormat/>
    <w:pPr>
      <w:ind w:left="354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Indent"/>
    <w:qFormat/>
    <w:pPr>
      <w:ind w:left="354"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Indent"/>
    <w:qFormat/>
    <w:pPr>
      <w:ind w:left="708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pPr>
      <w:ind w:left="708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pPr>
      <w:ind w:left="708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pPr>
      <w:ind w:left="708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pPr>
      <w:ind w:left="708"/>
      <w:outlineLvl w:val="8"/>
    </w:pPr>
    <w:rPr>
      <w:rFonts w:ascii="Times New Roman" w:hAnsi="Times New Roman"/>
      <w:i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Indent">
    <w:name w:val="Normal Indent"/>
    <w:basedOn w:val="Normal"/>
    <w:pPr>
      <w:ind w:left="708"/>
    </w:pPr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paragraph" w:styleId="FootnoteText">
    <w:name w:val="footnote text"/>
    <w:basedOn w:val="Normal"/>
    <w:semiHidden/>
    <w:rPr>
      <w:sz w:val="20"/>
    </w:rPr>
  </w:style>
  <w:style w:type="paragraph" w:styleId="BodyText">
    <w:name w:val="Body Text"/>
    <w:basedOn w:val="Normal"/>
    <w:pPr>
      <w:tabs>
        <w:tab w:val="left" w:pos="567"/>
        <w:tab w:val="left" w:pos="709"/>
        <w:tab w:val="left" w:pos="1276"/>
      </w:tabs>
    </w:pPr>
    <w:rPr>
      <w:b/>
      <w:lang w:val="en-GB"/>
    </w:rPr>
  </w:style>
  <w:style w:type="paragraph" w:styleId="BodyTextIndent">
    <w:name w:val="Body Text Indent"/>
    <w:basedOn w:val="Normal"/>
    <w:pPr>
      <w:tabs>
        <w:tab w:val="left" w:pos="567"/>
        <w:tab w:val="left" w:pos="709"/>
        <w:tab w:val="left" w:pos="1134"/>
      </w:tabs>
      <w:ind w:left="1134" w:hanging="1134"/>
    </w:pPr>
    <w:rPr>
      <w:lang w:val="en-GB"/>
    </w:rPr>
  </w:style>
  <w:style w:type="paragraph" w:styleId="BodyTextIndent2">
    <w:name w:val="Body Text Indent 2"/>
    <w:basedOn w:val="Normal"/>
    <w:pPr>
      <w:tabs>
        <w:tab w:val="left" w:pos="851"/>
      </w:tabs>
      <w:spacing w:line="240" w:lineRule="atLeast"/>
      <w:ind w:left="851" w:hanging="851"/>
    </w:pPr>
    <w:rPr>
      <w:b/>
      <w:lang w:val="en-GB"/>
    </w:rPr>
  </w:style>
  <w:style w:type="paragraph" w:styleId="BodyTextIndent3">
    <w:name w:val="Body Text Indent 3"/>
    <w:basedOn w:val="Normal"/>
    <w:pPr>
      <w:tabs>
        <w:tab w:val="left" w:pos="2835"/>
      </w:tabs>
      <w:ind w:left="2835"/>
    </w:p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lang w:val="en-US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2"/>
      <w:lang w:val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pPr>
      <w:spacing w:line="288" w:lineRule="auto"/>
      <w:ind w:right="1134"/>
    </w:pPr>
    <w:rPr>
      <w:sz w:val="20"/>
      <w:lang w:val="en-GB"/>
    </w:rPr>
  </w:style>
  <w:style w:type="paragraph" w:styleId="EndnoteText">
    <w:name w:val="end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EndnoteReference">
    <w:name w:val="endnote reference"/>
    <w:semiHidden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title2">
    <w:name w:val="title2"/>
    <w:basedOn w:val="Normal"/>
    <w:pPr>
      <w:spacing w:before="100" w:beforeAutospacing="1" w:after="100" w:afterAutospacing="1"/>
    </w:pPr>
    <w:rPr>
      <w:rFonts w:eastAsia="Arial Unicode MS" w:cs="Arial"/>
      <w:b/>
      <w:bCs/>
      <w:caps/>
      <w:color w:val="000080"/>
      <w:sz w:val="26"/>
      <w:szCs w:val="26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eastAsia="Arial Unicode MS" w:cs="Arial"/>
      <w:color w:val="000080"/>
      <w:szCs w:val="24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80"/>
      <w:szCs w:val="24"/>
    </w:rPr>
  </w:style>
  <w:style w:type="paragraph" w:styleId="BalloonText">
    <w:name w:val="Balloon Text"/>
    <w:basedOn w:val="Normal"/>
    <w:semiHidden/>
    <w:rsid w:val="00D82D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D2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semiHidden/>
    <w:rsid w:val="001012F0"/>
    <w:pPr>
      <w:ind w:left="240"/>
    </w:pPr>
  </w:style>
  <w:style w:type="paragraph" w:styleId="TOC1">
    <w:name w:val="toc 1"/>
    <w:basedOn w:val="Normal"/>
    <w:next w:val="Normal"/>
    <w:autoRedefine/>
    <w:semiHidden/>
    <w:rsid w:val="001012F0"/>
  </w:style>
  <w:style w:type="character" w:styleId="CommentReference">
    <w:name w:val="annotation reference"/>
    <w:semiHidden/>
    <w:rsid w:val="00E969F8"/>
    <w:rPr>
      <w:sz w:val="16"/>
      <w:szCs w:val="16"/>
    </w:rPr>
  </w:style>
  <w:style w:type="paragraph" w:styleId="CommentText">
    <w:name w:val="annotation text"/>
    <w:basedOn w:val="Normal"/>
    <w:semiHidden/>
    <w:rsid w:val="00E969F8"/>
    <w:rPr>
      <w:sz w:val="20"/>
    </w:rPr>
  </w:style>
  <w:style w:type="paragraph" w:styleId="CommentSubject">
    <w:name w:val="annotation subject"/>
    <w:basedOn w:val="CommentText"/>
    <w:next w:val="CommentText"/>
    <w:semiHidden/>
    <w:rsid w:val="00E969F8"/>
    <w:rPr>
      <w:b/>
      <w:bCs/>
    </w:rPr>
  </w:style>
  <w:style w:type="character" w:customStyle="1" w:styleId="HeaderChar">
    <w:name w:val="Header Char"/>
    <w:link w:val="Header"/>
    <w:rsid w:val="00CC7D42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1C727-EE55-42D4-9756-AE92B319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23rd ExNBG meeting short report</vt:lpstr>
      <vt:lpstr>23rd ExNBG meeting short report</vt:lpstr>
      <vt:lpstr>NDS 3. Sitzung ExNB</vt:lpstr>
    </vt:vector>
  </TitlesOfParts>
  <Company>VdTÜV ESSEN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23rd ExNBG meeting short report</dc:title>
  <dc:subject/>
  <dc:creator>von Scheidt</dc:creator>
  <cp:keywords/>
  <dc:description/>
  <cp:lastModifiedBy>Agius, Chris</cp:lastModifiedBy>
  <cp:revision>1</cp:revision>
  <cp:lastPrinted>2020-10-01T05:48:00Z</cp:lastPrinted>
  <dcterms:created xsi:type="dcterms:W3CDTF">2022-09-11T10:37:00Z</dcterms:created>
  <dcterms:modified xsi:type="dcterms:W3CDTF">2022-09-11T10:37:00Z</dcterms:modified>
</cp:coreProperties>
</file>