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007025" w14:textId="77777777" w:rsidR="00E31DD2" w:rsidRDefault="00E31DD2">
      <w:pPr>
        <w:pStyle w:val="Heading3"/>
        <w:rPr>
          <w:sz w:val="22"/>
          <w:lang w:val="de-DE"/>
        </w:rPr>
      </w:pPr>
    </w:p>
    <w:p w14:paraId="23DB2D8F" w14:textId="77777777" w:rsidR="00E31DD2" w:rsidRPr="00CE3F0B" w:rsidRDefault="00CE3F0B">
      <w:pPr>
        <w:rPr>
          <w:rFonts w:ascii="Arial" w:hAnsi="Arial"/>
          <w:b/>
          <w:sz w:val="22"/>
        </w:rPr>
      </w:pPr>
      <w:r w:rsidRPr="00CE3F0B">
        <w:rPr>
          <w:rFonts w:ascii="Arial Bold" w:hAnsi="Arial Bold" w:cs="Arial"/>
          <w:b/>
          <w:bCs/>
          <w:spacing w:val="15"/>
          <w:kern w:val="36"/>
          <w:sz w:val="22"/>
          <w:szCs w:val="22"/>
        </w:rPr>
        <w:t>INTERNATIONAL ELECTROTECHNICAL COMMISSION</w:t>
      </w:r>
      <w:r>
        <w:rPr>
          <w:rFonts w:ascii="Arial Bold" w:hAnsi="Arial Bold" w:cs="Arial"/>
          <w:b/>
          <w:bCs/>
          <w:spacing w:val="15"/>
          <w:kern w:val="36"/>
          <w:sz w:val="22"/>
          <w:szCs w:val="22"/>
        </w:rPr>
        <w:t xml:space="preserve"> </w:t>
      </w:r>
      <w:r w:rsidR="00E31DD2" w:rsidRPr="00CE3F0B">
        <w:rPr>
          <w:rFonts w:ascii="Arial Bold" w:hAnsi="Arial Bold" w:cs="Arial"/>
          <w:b/>
          <w:sz w:val="22"/>
          <w:szCs w:val="22"/>
        </w:rPr>
        <w:t>S</w:t>
      </w:r>
      <w:r>
        <w:rPr>
          <w:rFonts w:ascii="Arial" w:hAnsi="Arial"/>
          <w:b/>
          <w:sz w:val="22"/>
        </w:rPr>
        <w:t xml:space="preserve">YSTEM </w:t>
      </w:r>
      <w:r w:rsidR="00E31DD2">
        <w:rPr>
          <w:rFonts w:ascii="Arial" w:hAnsi="Arial"/>
          <w:b/>
          <w:sz w:val="22"/>
        </w:rPr>
        <w:t xml:space="preserve">FOR CERTIFICATION TO STANDARDS RELATING TO EQUIPMENT FOR USE IN EXPLOSIVE ATMOSPHERES (IECEx </w:t>
      </w:r>
      <w:r>
        <w:rPr>
          <w:rFonts w:ascii="Arial" w:hAnsi="Arial"/>
          <w:b/>
          <w:sz w:val="22"/>
        </w:rPr>
        <w:t>SYSTEM)</w:t>
      </w:r>
    </w:p>
    <w:p w14:paraId="2A6F92EE" w14:textId="77777777" w:rsidR="00CE3F0B" w:rsidRDefault="00CE3F0B" w:rsidP="00CE3F0B">
      <w:pPr>
        <w:pStyle w:val="BodyText3"/>
        <w:rPr>
          <w:rFonts w:ascii="Arial" w:hAnsi="Arial" w:cs="Arial"/>
          <w:lang w:val="en-AU"/>
        </w:rPr>
      </w:pPr>
    </w:p>
    <w:p w14:paraId="15646EFC" w14:textId="77777777" w:rsidR="00CE3F0B" w:rsidRDefault="00CE3F0B" w:rsidP="00CE3F0B">
      <w:pPr>
        <w:jc w:val="center"/>
        <w:rPr>
          <w:rFonts w:ascii="Arial" w:hAnsi="Arial"/>
          <w:b/>
          <w:sz w:val="22"/>
        </w:rPr>
      </w:pPr>
    </w:p>
    <w:p w14:paraId="490267B4" w14:textId="77777777" w:rsidR="00E31DD2" w:rsidRDefault="00E31DD2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Report from </w:t>
      </w:r>
      <w:proofErr w:type="spellStart"/>
      <w:r>
        <w:rPr>
          <w:rFonts w:ascii="Arial" w:hAnsi="Arial"/>
          <w:b/>
          <w:sz w:val="32"/>
        </w:rPr>
        <w:t>ExTAG</w:t>
      </w:r>
      <w:proofErr w:type="spellEnd"/>
      <w:r>
        <w:rPr>
          <w:rFonts w:ascii="Arial" w:hAnsi="Arial"/>
          <w:b/>
          <w:sz w:val="32"/>
        </w:rPr>
        <w:t xml:space="preserve"> Working Group </w:t>
      </w:r>
      <w:r w:rsidR="00DE500E">
        <w:rPr>
          <w:rFonts w:ascii="Arial" w:hAnsi="Arial"/>
          <w:b/>
          <w:sz w:val="32"/>
        </w:rPr>
        <w:t>0</w:t>
      </w:r>
      <w:r>
        <w:rPr>
          <w:rFonts w:ascii="Arial" w:hAnsi="Arial"/>
          <w:b/>
          <w:sz w:val="32"/>
        </w:rPr>
        <w:t>1 (WG01):</w:t>
      </w:r>
    </w:p>
    <w:p w14:paraId="7C513A08" w14:textId="77777777" w:rsidR="00E31DD2" w:rsidRPr="00C95780" w:rsidRDefault="00E31DD2" w:rsidP="00C95780">
      <w:pPr>
        <w:spacing w:after="240"/>
        <w:jc w:val="center"/>
        <w:rPr>
          <w:rFonts w:ascii="Arial" w:hAnsi="Arial"/>
          <w:b/>
          <w:bCs/>
          <w:sz w:val="28"/>
        </w:rPr>
      </w:pPr>
      <w:r>
        <w:rPr>
          <w:rFonts w:ascii="Arial" w:hAnsi="Arial" w:cs="Arial"/>
          <w:b/>
          <w:bCs/>
          <w:sz w:val="32"/>
          <w:szCs w:val="20"/>
        </w:rPr>
        <w:t>Preparation of assessment and test report forms (</w:t>
      </w:r>
      <w:proofErr w:type="spellStart"/>
      <w:r>
        <w:rPr>
          <w:rFonts w:ascii="Arial" w:hAnsi="Arial" w:cs="Arial"/>
          <w:b/>
          <w:bCs/>
          <w:sz w:val="32"/>
          <w:szCs w:val="20"/>
        </w:rPr>
        <w:t>ExTRs</w:t>
      </w:r>
      <w:proofErr w:type="spellEnd"/>
      <w:r>
        <w:rPr>
          <w:rFonts w:ascii="Arial" w:hAnsi="Arial" w:cs="Arial"/>
          <w:b/>
          <w:bCs/>
          <w:sz w:val="32"/>
          <w:szCs w:val="20"/>
        </w:rPr>
        <w:t>)</w:t>
      </w:r>
    </w:p>
    <w:p w14:paraId="532C3659" w14:textId="77777777" w:rsidR="00E31DD2" w:rsidRDefault="00BA491C" w:rsidP="00206263">
      <w:pPr>
        <w:spacing w:after="240"/>
        <w:rPr>
          <w:rFonts w:ascii="Arial" w:hAnsi="Arial"/>
          <w:b/>
          <w:sz w:val="22"/>
        </w:rPr>
      </w:pPr>
      <w:r>
        <w:rPr>
          <w:rFonts w:ascii="Arial" w:hAnsi="Arial"/>
          <w:b/>
          <w:noProof/>
          <w:sz w:val="20"/>
          <w:lang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0CA6C9" wp14:editId="09673807">
                <wp:simplePos x="0" y="0"/>
                <wp:positionH relativeFrom="column">
                  <wp:posOffset>0</wp:posOffset>
                </wp:positionH>
                <wp:positionV relativeFrom="paragraph">
                  <wp:posOffset>78740</wp:posOffset>
                </wp:positionV>
                <wp:extent cx="5715000" cy="0"/>
                <wp:effectExtent l="45720" t="38735" r="40005" b="4699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445743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2pt" to="450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" strokecolor="blue" strokeweight="6pt">
                <v:stroke linestyle="thickBetweenThin"/>
              </v:line>
            </w:pict>
          </mc:Fallback>
        </mc:AlternateContent>
      </w:r>
    </w:p>
    <w:p w14:paraId="622DCE78" w14:textId="77777777" w:rsidR="00152C56" w:rsidRDefault="00152C56" w:rsidP="00206263">
      <w:pPr>
        <w:pStyle w:val="Heading2"/>
        <w:spacing w:after="120"/>
        <w:rPr>
          <w:rFonts w:cs="Times New Roman"/>
          <w:bCs/>
        </w:rPr>
      </w:pPr>
      <w:r w:rsidRPr="00F610B0">
        <w:rPr>
          <w:rFonts w:cs="Times New Roman"/>
          <w:bCs/>
        </w:rPr>
        <w:t>Introduction</w:t>
      </w:r>
    </w:p>
    <w:p w14:paraId="1256BF24" w14:textId="0DEEFC50" w:rsidR="00206263" w:rsidRPr="00206263" w:rsidRDefault="00206263" w:rsidP="00206263">
      <w:pPr>
        <w:spacing w:after="120"/>
        <w:rPr>
          <w:rFonts w:ascii="Arial" w:hAnsi="Arial" w:cs="Arial"/>
        </w:rPr>
      </w:pPr>
      <w:r w:rsidRPr="00206263">
        <w:rPr>
          <w:rFonts w:ascii="Arial" w:hAnsi="Arial" w:cs="Arial"/>
        </w:rPr>
        <w:t xml:space="preserve">This document provides a report of the activities of </w:t>
      </w:r>
      <w:proofErr w:type="spellStart"/>
      <w:r w:rsidRPr="00206263">
        <w:rPr>
          <w:rFonts w:ascii="Arial" w:hAnsi="Arial" w:cs="Arial"/>
        </w:rPr>
        <w:t>ExTAG</w:t>
      </w:r>
      <w:proofErr w:type="spellEnd"/>
      <w:r w:rsidRPr="00206263">
        <w:rPr>
          <w:rFonts w:ascii="Arial" w:hAnsi="Arial" w:cs="Arial"/>
        </w:rPr>
        <w:t xml:space="preserve"> WG</w:t>
      </w:r>
      <w:r w:rsidR="00596745">
        <w:rPr>
          <w:rFonts w:ascii="Arial" w:hAnsi="Arial" w:cs="Arial"/>
        </w:rPr>
        <w:t>01</w:t>
      </w:r>
      <w:r w:rsidRPr="00206263">
        <w:rPr>
          <w:rFonts w:ascii="Arial" w:hAnsi="Arial" w:cs="Arial"/>
        </w:rPr>
        <w:t xml:space="preserve"> since the 2019 IECEx System Testing &amp; Assessment Group (</w:t>
      </w:r>
      <w:proofErr w:type="spellStart"/>
      <w:r w:rsidRPr="00206263">
        <w:rPr>
          <w:rFonts w:ascii="Arial" w:hAnsi="Arial" w:cs="Arial"/>
        </w:rPr>
        <w:t>ExTAG</w:t>
      </w:r>
      <w:proofErr w:type="spellEnd"/>
      <w:r w:rsidRPr="00206263">
        <w:rPr>
          <w:rFonts w:ascii="Arial" w:hAnsi="Arial" w:cs="Arial"/>
        </w:rPr>
        <w:t>) meeting in Dubai (UAE).</w:t>
      </w:r>
    </w:p>
    <w:p w14:paraId="24EF90FC" w14:textId="77777777" w:rsidR="00206263" w:rsidRDefault="00206263" w:rsidP="00206263">
      <w:pPr>
        <w:spacing w:after="240"/>
        <w:rPr>
          <w:rFonts w:ascii="Arial" w:hAnsi="Arial" w:cs="Arial"/>
        </w:rPr>
      </w:pPr>
      <w:r w:rsidRPr="00206263">
        <w:rPr>
          <w:rFonts w:ascii="Arial" w:hAnsi="Arial" w:cs="Arial"/>
        </w:rPr>
        <w:t>This report is submitted for consideration during the 2020 IECEx System Testing &amp; Assessment Group (</w:t>
      </w:r>
      <w:proofErr w:type="spellStart"/>
      <w:r w:rsidRPr="00206263">
        <w:rPr>
          <w:rFonts w:ascii="Arial" w:hAnsi="Arial" w:cs="Arial"/>
        </w:rPr>
        <w:t>ExTAG</w:t>
      </w:r>
      <w:proofErr w:type="spellEnd"/>
      <w:r w:rsidRPr="00206263">
        <w:rPr>
          <w:rFonts w:ascii="Arial" w:hAnsi="Arial" w:cs="Arial"/>
        </w:rPr>
        <w:t>) remote meeting.</w:t>
      </w:r>
    </w:p>
    <w:p w14:paraId="1599E346" w14:textId="77777777" w:rsidR="00152C56" w:rsidRPr="00F610B0" w:rsidRDefault="00152C56" w:rsidP="00206263">
      <w:pPr>
        <w:pStyle w:val="Heading2"/>
        <w:spacing w:after="120"/>
        <w:rPr>
          <w:bCs/>
          <w:lang w:val="en-AU"/>
        </w:rPr>
      </w:pPr>
      <w:r w:rsidRPr="00F610B0">
        <w:rPr>
          <w:bCs/>
          <w:lang w:val="en-AU"/>
        </w:rPr>
        <w:t>Description / Scope</w:t>
      </w:r>
    </w:p>
    <w:p w14:paraId="4BB0B218" w14:textId="77777777" w:rsidR="00E31DD2" w:rsidRPr="00C95780" w:rsidRDefault="00E31DD2" w:rsidP="00206263">
      <w:pPr>
        <w:spacing w:after="240"/>
        <w:rPr>
          <w:rFonts w:ascii="Arial" w:hAnsi="Arial" w:cs="Arial"/>
          <w:color w:val="FF0000"/>
        </w:rPr>
      </w:pPr>
      <w:r w:rsidRPr="00152C56">
        <w:rPr>
          <w:rFonts w:ascii="Arial" w:hAnsi="Arial" w:cs="Arial"/>
        </w:rPr>
        <w:t>This Working Group was convened to create, revise and update the Ex Test Reports to be used within the IECEx S</w:t>
      </w:r>
      <w:r w:rsidR="00DE500E" w:rsidRPr="00152C56">
        <w:rPr>
          <w:rFonts w:ascii="Arial" w:hAnsi="Arial" w:cs="Arial"/>
        </w:rPr>
        <w:t>ystem.</w:t>
      </w:r>
    </w:p>
    <w:p w14:paraId="54AD2F5D" w14:textId="77777777" w:rsidR="00E31DD2" w:rsidRPr="00C95780" w:rsidRDefault="00E31DD2" w:rsidP="00206263">
      <w:pPr>
        <w:pStyle w:val="Heading2"/>
        <w:spacing w:after="120"/>
        <w:rPr>
          <w:bCs/>
          <w:lang w:val="en-AU"/>
        </w:rPr>
      </w:pPr>
      <w:r w:rsidRPr="00152C56">
        <w:rPr>
          <w:bCs/>
          <w:lang w:val="en-AU"/>
        </w:rPr>
        <w:t>Membership</w:t>
      </w:r>
    </w:p>
    <w:tbl>
      <w:tblPr>
        <w:tblW w:w="2895" w:type="dxa"/>
        <w:tblInd w:w="93" w:type="dxa"/>
        <w:tblLook w:val="04A0" w:firstRow="1" w:lastRow="0" w:firstColumn="1" w:lastColumn="0" w:noHBand="0" w:noVBand="1"/>
      </w:tblPr>
      <w:tblGrid>
        <w:gridCol w:w="2895"/>
      </w:tblGrid>
      <w:tr w:rsidR="00F2123B" w:rsidRPr="00152C56" w14:paraId="58905EB5" w14:textId="77777777" w:rsidTr="00F2123B">
        <w:trPr>
          <w:trHeight w:val="300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EEB2A" w14:textId="77777777" w:rsidR="00F2123B" w:rsidRPr="00152C56" w:rsidRDefault="00F2123B" w:rsidP="00206263">
            <w:pPr>
              <w:rPr>
                <w:rFonts w:ascii="Arial" w:hAnsi="Arial" w:cs="Arial"/>
                <w:i/>
                <w:color w:val="000000"/>
              </w:rPr>
            </w:pPr>
            <w:r w:rsidRPr="00152C56">
              <w:rPr>
                <w:rFonts w:ascii="Arial" w:hAnsi="Arial" w:cs="Arial"/>
                <w:i/>
                <w:color w:val="000000"/>
              </w:rPr>
              <w:t>Mr. Paul Kelly, Convenor</w:t>
            </w:r>
          </w:p>
        </w:tc>
      </w:tr>
      <w:tr w:rsidR="00F2123B" w:rsidRPr="00152C56" w14:paraId="29395210" w14:textId="77777777" w:rsidTr="00F2123B">
        <w:trPr>
          <w:trHeight w:val="300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E254A" w14:textId="77777777" w:rsidR="00F2123B" w:rsidRPr="00152C56" w:rsidRDefault="00F2123B">
            <w:pPr>
              <w:rPr>
                <w:rFonts w:ascii="Arial" w:hAnsi="Arial" w:cs="Arial"/>
                <w:i/>
                <w:color w:val="000000"/>
              </w:rPr>
            </w:pPr>
            <w:r w:rsidRPr="00152C56">
              <w:rPr>
                <w:rFonts w:ascii="Arial" w:hAnsi="Arial" w:cs="Arial"/>
                <w:i/>
                <w:color w:val="000000"/>
              </w:rPr>
              <w:t>Mr. Mohamed Abdelkrimi</w:t>
            </w:r>
          </w:p>
        </w:tc>
      </w:tr>
      <w:tr w:rsidR="00F2123B" w:rsidRPr="00152C56" w14:paraId="0F9268FB" w14:textId="77777777" w:rsidTr="00F2123B">
        <w:trPr>
          <w:trHeight w:val="300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E02E9" w14:textId="77777777" w:rsidR="00F2123B" w:rsidRPr="00152C56" w:rsidRDefault="00F2123B">
            <w:pPr>
              <w:rPr>
                <w:rFonts w:ascii="Arial" w:hAnsi="Arial" w:cs="Arial"/>
                <w:i/>
                <w:color w:val="000000"/>
              </w:rPr>
            </w:pPr>
            <w:r w:rsidRPr="00152C56">
              <w:rPr>
                <w:rFonts w:ascii="Arial" w:hAnsi="Arial" w:cs="Arial"/>
                <w:i/>
                <w:color w:val="000000"/>
              </w:rPr>
              <w:t>Mr. Dave Adams</w:t>
            </w:r>
          </w:p>
        </w:tc>
      </w:tr>
      <w:tr w:rsidR="00F2123B" w:rsidRPr="00152C56" w14:paraId="60CEB19C" w14:textId="77777777" w:rsidTr="00F2123B">
        <w:trPr>
          <w:trHeight w:val="300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231D5" w14:textId="77777777" w:rsidR="00F2123B" w:rsidRPr="00152C56" w:rsidRDefault="00F2123B">
            <w:pPr>
              <w:rPr>
                <w:rFonts w:ascii="Arial" w:hAnsi="Arial" w:cs="Arial"/>
                <w:i/>
                <w:color w:val="000000"/>
              </w:rPr>
            </w:pPr>
            <w:r w:rsidRPr="00152C56">
              <w:rPr>
                <w:rFonts w:ascii="Arial" w:hAnsi="Arial" w:cs="Arial"/>
                <w:i/>
                <w:color w:val="000000"/>
              </w:rPr>
              <w:t>Mr. Michel Brenon</w:t>
            </w:r>
          </w:p>
        </w:tc>
      </w:tr>
      <w:tr w:rsidR="00F2123B" w:rsidRPr="00152C56" w14:paraId="0705C2C7" w14:textId="77777777" w:rsidTr="00F2123B">
        <w:trPr>
          <w:trHeight w:val="300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0A9FA" w14:textId="77777777" w:rsidR="00F2123B" w:rsidRPr="00152C56" w:rsidRDefault="00F2123B">
            <w:pPr>
              <w:rPr>
                <w:rFonts w:ascii="Arial" w:hAnsi="Arial" w:cs="Arial"/>
                <w:i/>
                <w:color w:val="000000"/>
              </w:rPr>
            </w:pPr>
            <w:r w:rsidRPr="00152C56">
              <w:rPr>
                <w:rFonts w:ascii="Arial" w:hAnsi="Arial" w:cs="Arial"/>
                <w:i/>
                <w:color w:val="000000"/>
              </w:rPr>
              <w:t xml:space="preserve">Mr. </w:t>
            </w:r>
            <w:proofErr w:type="gramStart"/>
            <w:r w:rsidRPr="00152C56">
              <w:rPr>
                <w:rFonts w:ascii="Arial" w:hAnsi="Arial" w:cs="Arial"/>
                <w:i/>
                <w:color w:val="000000"/>
              </w:rPr>
              <w:t xml:space="preserve">Olivier  </w:t>
            </w:r>
            <w:proofErr w:type="spellStart"/>
            <w:r w:rsidRPr="00152C56">
              <w:rPr>
                <w:rFonts w:ascii="Arial" w:hAnsi="Arial" w:cs="Arial"/>
                <w:i/>
                <w:color w:val="000000"/>
              </w:rPr>
              <w:t>Cottin</w:t>
            </w:r>
            <w:proofErr w:type="spellEnd"/>
            <w:proofErr w:type="gramEnd"/>
          </w:p>
        </w:tc>
      </w:tr>
      <w:tr w:rsidR="00F2123B" w:rsidRPr="00152C56" w14:paraId="3338772B" w14:textId="77777777" w:rsidTr="00F2123B">
        <w:trPr>
          <w:trHeight w:val="300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DEF97" w14:textId="77777777" w:rsidR="00F2123B" w:rsidRDefault="00F2123B">
            <w:pPr>
              <w:rPr>
                <w:rFonts w:ascii="Arial" w:hAnsi="Arial" w:cs="Arial"/>
                <w:i/>
                <w:color w:val="000000"/>
              </w:rPr>
            </w:pPr>
            <w:r w:rsidRPr="00152C56">
              <w:rPr>
                <w:rFonts w:ascii="Arial" w:hAnsi="Arial" w:cs="Arial"/>
                <w:i/>
                <w:color w:val="000000"/>
              </w:rPr>
              <w:t xml:space="preserve">Mr. </w:t>
            </w:r>
            <w:proofErr w:type="gramStart"/>
            <w:r w:rsidRPr="00152C56">
              <w:rPr>
                <w:rFonts w:ascii="Arial" w:hAnsi="Arial" w:cs="Arial"/>
                <w:i/>
                <w:color w:val="000000"/>
              </w:rPr>
              <w:t xml:space="preserve">Thierry  </w:t>
            </w:r>
            <w:proofErr w:type="spellStart"/>
            <w:r w:rsidRPr="00152C56">
              <w:rPr>
                <w:rFonts w:ascii="Arial" w:hAnsi="Arial" w:cs="Arial"/>
                <w:i/>
                <w:color w:val="000000"/>
              </w:rPr>
              <w:t>Houeix</w:t>
            </w:r>
            <w:proofErr w:type="spellEnd"/>
            <w:proofErr w:type="gramEnd"/>
          </w:p>
          <w:p w14:paraId="48AD162C" w14:textId="77777777" w:rsidR="00F66A71" w:rsidRPr="00152C56" w:rsidRDefault="00C95780">
            <w:pPr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i/>
                <w:color w:val="000000"/>
              </w:rPr>
              <w:t xml:space="preserve">Mr. Scott </w:t>
            </w:r>
            <w:proofErr w:type="spellStart"/>
            <w:r>
              <w:rPr>
                <w:rFonts w:ascii="Arial" w:hAnsi="Arial" w:cs="Arial"/>
                <w:i/>
                <w:color w:val="000000"/>
              </w:rPr>
              <w:t>Kiddle</w:t>
            </w:r>
            <w:proofErr w:type="spellEnd"/>
          </w:p>
        </w:tc>
      </w:tr>
      <w:tr w:rsidR="00F2123B" w:rsidRPr="00152C56" w14:paraId="7F87221F" w14:textId="77777777" w:rsidTr="00F2123B">
        <w:trPr>
          <w:trHeight w:val="300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08DA8" w14:textId="77777777" w:rsidR="00F2123B" w:rsidRPr="00152C56" w:rsidRDefault="00F2123B">
            <w:pPr>
              <w:rPr>
                <w:rFonts w:ascii="Arial" w:hAnsi="Arial" w:cs="Arial"/>
                <w:i/>
                <w:color w:val="000000"/>
              </w:rPr>
            </w:pPr>
            <w:r w:rsidRPr="00152C56">
              <w:rPr>
                <w:rFonts w:ascii="Arial" w:hAnsi="Arial" w:cs="Arial"/>
                <w:i/>
                <w:color w:val="000000"/>
              </w:rPr>
              <w:t xml:space="preserve">Dr. Frank </w:t>
            </w:r>
            <w:proofErr w:type="spellStart"/>
            <w:r w:rsidRPr="00152C56">
              <w:rPr>
                <w:rFonts w:ascii="Arial" w:hAnsi="Arial" w:cs="Arial"/>
                <w:i/>
                <w:color w:val="000000"/>
              </w:rPr>
              <w:t>Lienesch</w:t>
            </w:r>
            <w:proofErr w:type="spellEnd"/>
          </w:p>
        </w:tc>
      </w:tr>
      <w:tr w:rsidR="00F2123B" w:rsidRPr="00152C56" w14:paraId="505C1F72" w14:textId="77777777" w:rsidTr="00F2123B">
        <w:trPr>
          <w:trHeight w:val="300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4F306" w14:textId="77777777" w:rsidR="00F2123B" w:rsidRPr="00152C56" w:rsidRDefault="00F2123B">
            <w:pPr>
              <w:rPr>
                <w:rFonts w:ascii="Arial" w:hAnsi="Arial" w:cs="Arial"/>
                <w:i/>
                <w:color w:val="000000"/>
              </w:rPr>
            </w:pPr>
            <w:r w:rsidRPr="00152C56">
              <w:rPr>
                <w:rFonts w:ascii="Arial" w:hAnsi="Arial" w:cs="Arial"/>
                <w:i/>
                <w:color w:val="000000"/>
              </w:rPr>
              <w:t xml:space="preserve">Mr. Ajay </w:t>
            </w:r>
            <w:proofErr w:type="spellStart"/>
            <w:r w:rsidRPr="00152C56">
              <w:rPr>
                <w:rFonts w:ascii="Arial" w:hAnsi="Arial" w:cs="Arial"/>
                <w:i/>
                <w:color w:val="000000"/>
              </w:rPr>
              <w:t>Maira</w:t>
            </w:r>
            <w:proofErr w:type="spellEnd"/>
          </w:p>
        </w:tc>
      </w:tr>
      <w:tr w:rsidR="00F2123B" w:rsidRPr="00152C56" w14:paraId="22AD7907" w14:textId="77777777" w:rsidTr="00F2123B">
        <w:trPr>
          <w:trHeight w:val="300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F3266" w14:textId="77777777" w:rsidR="00F2123B" w:rsidRPr="00152C56" w:rsidRDefault="00F2123B">
            <w:pPr>
              <w:rPr>
                <w:rFonts w:ascii="Arial" w:hAnsi="Arial" w:cs="Arial"/>
                <w:i/>
                <w:color w:val="000000"/>
              </w:rPr>
            </w:pPr>
            <w:r w:rsidRPr="00152C56">
              <w:rPr>
                <w:rFonts w:ascii="Arial" w:hAnsi="Arial" w:cs="Arial"/>
                <w:i/>
                <w:color w:val="000000"/>
              </w:rPr>
              <w:t>Dr. Jim Munro</w:t>
            </w:r>
          </w:p>
        </w:tc>
      </w:tr>
      <w:tr w:rsidR="00F2123B" w:rsidRPr="00152C56" w14:paraId="11879F47" w14:textId="77777777" w:rsidTr="00F2123B">
        <w:trPr>
          <w:trHeight w:val="300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8D2B0" w14:textId="77777777" w:rsidR="00F2123B" w:rsidRPr="00152C56" w:rsidRDefault="00F2123B">
            <w:pPr>
              <w:rPr>
                <w:rFonts w:ascii="Arial" w:hAnsi="Arial" w:cs="Arial"/>
                <w:i/>
                <w:color w:val="000000"/>
              </w:rPr>
            </w:pPr>
            <w:r w:rsidRPr="00152C56">
              <w:rPr>
                <w:rFonts w:ascii="Arial" w:hAnsi="Arial" w:cs="Arial"/>
                <w:i/>
                <w:color w:val="000000"/>
              </w:rPr>
              <w:t xml:space="preserve">Mr. </w:t>
            </w:r>
            <w:proofErr w:type="spellStart"/>
            <w:r w:rsidRPr="00152C56">
              <w:rPr>
                <w:rFonts w:ascii="Arial" w:hAnsi="Arial" w:cs="Arial"/>
                <w:i/>
                <w:color w:val="000000"/>
              </w:rPr>
              <w:t>Chunming</w:t>
            </w:r>
            <w:proofErr w:type="spellEnd"/>
            <w:r w:rsidRPr="00152C56">
              <w:rPr>
                <w:rFonts w:ascii="Arial" w:hAnsi="Arial" w:cs="Arial"/>
                <w:i/>
                <w:color w:val="000000"/>
              </w:rPr>
              <w:t xml:space="preserve"> Ni</w:t>
            </w:r>
          </w:p>
        </w:tc>
      </w:tr>
      <w:tr w:rsidR="00F2123B" w:rsidRPr="00152C56" w14:paraId="70F57CBB" w14:textId="77777777" w:rsidTr="00F2123B">
        <w:trPr>
          <w:trHeight w:val="300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62BA8" w14:textId="77777777" w:rsidR="00F2123B" w:rsidRPr="00152C56" w:rsidRDefault="00F2123B">
            <w:pPr>
              <w:rPr>
                <w:rFonts w:ascii="Arial" w:hAnsi="Arial" w:cs="Arial"/>
                <w:i/>
                <w:color w:val="000000"/>
              </w:rPr>
            </w:pPr>
            <w:r w:rsidRPr="00152C56">
              <w:rPr>
                <w:rFonts w:ascii="Arial" w:hAnsi="Arial" w:cs="Arial"/>
                <w:i/>
                <w:color w:val="000000"/>
              </w:rPr>
              <w:t xml:space="preserve">Mrs. </w:t>
            </w:r>
            <w:proofErr w:type="spellStart"/>
            <w:r w:rsidRPr="00152C56">
              <w:rPr>
                <w:rFonts w:ascii="Arial" w:hAnsi="Arial" w:cs="Arial"/>
                <w:i/>
                <w:color w:val="000000"/>
              </w:rPr>
              <w:t>Gordana</w:t>
            </w:r>
            <w:proofErr w:type="spellEnd"/>
            <w:r w:rsidRPr="00152C56">
              <w:rPr>
                <w:rFonts w:ascii="Arial" w:hAnsi="Arial" w:cs="Arial"/>
                <w:i/>
                <w:color w:val="000000"/>
              </w:rPr>
              <w:t xml:space="preserve"> </w:t>
            </w:r>
            <w:proofErr w:type="spellStart"/>
            <w:r w:rsidRPr="00152C56">
              <w:rPr>
                <w:rFonts w:ascii="Arial" w:hAnsi="Arial" w:cs="Arial"/>
                <w:i/>
                <w:color w:val="000000"/>
              </w:rPr>
              <w:t>Ostojic</w:t>
            </w:r>
            <w:proofErr w:type="spellEnd"/>
          </w:p>
        </w:tc>
      </w:tr>
      <w:tr w:rsidR="00F2123B" w:rsidRPr="00152C56" w14:paraId="01895612" w14:textId="77777777" w:rsidTr="00F2123B">
        <w:trPr>
          <w:trHeight w:val="300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F14B0" w14:textId="77777777" w:rsidR="00F2123B" w:rsidRPr="00152C56" w:rsidRDefault="00F2123B">
            <w:pPr>
              <w:rPr>
                <w:rFonts w:ascii="Arial" w:hAnsi="Arial" w:cs="Arial"/>
                <w:i/>
                <w:color w:val="000000"/>
              </w:rPr>
            </w:pPr>
            <w:r w:rsidRPr="00152C56">
              <w:rPr>
                <w:rFonts w:ascii="Arial" w:hAnsi="Arial" w:cs="Arial"/>
                <w:i/>
                <w:color w:val="000000"/>
              </w:rPr>
              <w:t>Mr. Ron Sinclair</w:t>
            </w:r>
          </w:p>
        </w:tc>
      </w:tr>
      <w:tr w:rsidR="00F2123B" w:rsidRPr="00152C56" w14:paraId="7955FF11" w14:textId="77777777" w:rsidTr="00F2123B">
        <w:trPr>
          <w:trHeight w:val="300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79183" w14:textId="77777777" w:rsidR="00F2123B" w:rsidRPr="00152C56" w:rsidRDefault="00F2123B">
            <w:pPr>
              <w:rPr>
                <w:rFonts w:ascii="Arial" w:hAnsi="Arial" w:cs="Arial"/>
                <w:i/>
                <w:color w:val="000000"/>
              </w:rPr>
            </w:pPr>
            <w:r w:rsidRPr="00152C56">
              <w:rPr>
                <w:rFonts w:ascii="Arial" w:hAnsi="Arial" w:cs="Arial"/>
                <w:i/>
                <w:color w:val="000000"/>
              </w:rPr>
              <w:t xml:space="preserve">Mr. Paul van </w:t>
            </w:r>
            <w:proofErr w:type="spellStart"/>
            <w:r w:rsidRPr="00152C56">
              <w:rPr>
                <w:rFonts w:ascii="Arial" w:hAnsi="Arial" w:cs="Arial"/>
                <w:i/>
                <w:color w:val="000000"/>
              </w:rPr>
              <w:t>Nijen</w:t>
            </w:r>
            <w:proofErr w:type="spellEnd"/>
          </w:p>
        </w:tc>
      </w:tr>
    </w:tbl>
    <w:p w14:paraId="73272885" w14:textId="77777777" w:rsidR="00206263" w:rsidRPr="00F610B0" w:rsidRDefault="00E31DD2" w:rsidP="00206263">
      <w:pPr>
        <w:pStyle w:val="Header"/>
        <w:tabs>
          <w:tab w:val="clear" w:pos="4536"/>
          <w:tab w:val="clear" w:pos="9072"/>
        </w:tabs>
        <w:spacing w:after="120"/>
        <w:jc w:val="center"/>
        <w:rPr>
          <w:rFonts w:ascii="Arial" w:hAnsi="Arial" w:cs="Arial"/>
          <w:b/>
          <w:bCs/>
          <w:u w:val="single"/>
          <w:lang w:val="en-AU" w:eastAsia="en-US"/>
        </w:rPr>
      </w:pPr>
      <w:r w:rsidRPr="007C14E1">
        <w:rPr>
          <w:lang w:val="en-US"/>
        </w:rPr>
        <w:br w:type="page"/>
      </w:r>
      <w:r w:rsidR="00206263" w:rsidRPr="00F610B0">
        <w:rPr>
          <w:rFonts w:ascii="Arial" w:hAnsi="Arial" w:cs="Arial"/>
          <w:b/>
          <w:bCs/>
          <w:u w:val="single"/>
          <w:lang w:val="en-AU" w:eastAsia="en-US"/>
        </w:rPr>
        <w:lastRenderedPageBreak/>
        <w:t xml:space="preserve">WG Meetings Since </w:t>
      </w:r>
      <w:r w:rsidR="00206263" w:rsidRPr="00B02FC2">
        <w:rPr>
          <w:rFonts w:ascii="Arial" w:hAnsi="Arial" w:cs="Arial"/>
          <w:b/>
          <w:bCs/>
          <w:u w:val="single"/>
          <w:lang w:val="en-AU" w:eastAsia="en-US"/>
        </w:rPr>
        <w:t>Dubai (UAE)</w:t>
      </w:r>
      <w:r w:rsidR="00206263" w:rsidRPr="00F610B0">
        <w:rPr>
          <w:rFonts w:ascii="Arial" w:hAnsi="Arial" w:cs="Arial"/>
          <w:b/>
          <w:bCs/>
          <w:u w:val="single"/>
          <w:lang w:val="en-AU" w:eastAsia="en-US"/>
        </w:rPr>
        <w:t xml:space="preserve"> Meetings</w:t>
      </w:r>
    </w:p>
    <w:p w14:paraId="404A69C8" w14:textId="77777777" w:rsidR="00206263" w:rsidRPr="00206263" w:rsidRDefault="00206263" w:rsidP="00206263">
      <w:pPr>
        <w:spacing w:after="240"/>
        <w:rPr>
          <w:rFonts w:ascii="Arial" w:hAnsi="Arial" w:cs="Arial"/>
          <w:iCs/>
          <w:lang w:val="en-GB"/>
        </w:rPr>
      </w:pPr>
      <w:r w:rsidRPr="00064CF7">
        <w:rPr>
          <w:rFonts w:ascii="Arial" w:hAnsi="Arial" w:cs="Arial"/>
          <w:iCs/>
          <w:lang w:val="en-GB"/>
        </w:rPr>
        <w:t xml:space="preserve">No meetings </w:t>
      </w:r>
      <w:r w:rsidRPr="00206263">
        <w:rPr>
          <w:rFonts w:ascii="Arial" w:hAnsi="Arial" w:cs="Arial"/>
          <w:iCs/>
          <w:lang w:val="en-GB"/>
        </w:rPr>
        <w:t xml:space="preserve">of </w:t>
      </w:r>
      <w:proofErr w:type="spellStart"/>
      <w:r w:rsidRPr="00206263">
        <w:rPr>
          <w:rFonts w:ascii="Arial" w:hAnsi="Arial" w:cs="Arial"/>
          <w:iCs/>
          <w:lang w:val="en-GB"/>
        </w:rPr>
        <w:t>ExTAG</w:t>
      </w:r>
      <w:proofErr w:type="spellEnd"/>
      <w:r w:rsidRPr="00206263">
        <w:rPr>
          <w:rFonts w:ascii="Arial" w:hAnsi="Arial" w:cs="Arial"/>
          <w:iCs/>
          <w:lang w:val="en-GB"/>
        </w:rPr>
        <w:t xml:space="preserve"> WG</w:t>
      </w:r>
      <w:r>
        <w:rPr>
          <w:rFonts w:ascii="Arial" w:hAnsi="Arial" w:cs="Arial"/>
          <w:iCs/>
          <w:lang w:val="en-GB"/>
        </w:rPr>
        <w:t>01</w:t>
      </w:r>
      <w:r w:rsidRPr="00206263">
        <w:rPr>
          <w:rFonts w:ascii="Arial" w:hAnsi="Arial" w:cs="Arial"/>
          <w:iCs/>
          <w:lang w:val="en-GB"/>
        </w:rPr>
        <w:t xml:space="preserve"> were </w:t>
      </w:r>
      <w:r w:rsidRPr="00064CF7">
        <w:rPr>
          <w:rFonts w:ascii="Arial" w:hAnsi="Arial" w:cs="Arial"/>
          <w:iCs/>
          <w:lang w:val="en-GB"/>
        </w:rPr>
        <w:t>held since the 201</w:t>
      </w:r>
      <w:r w:rsidRPr="00206263">
        <w:rPr>
          <w:rFonts w:ascii="Arial" w:hAnsi="Arial" w:cs="Arial"/>
          <w:iCs/>
          <w:lang w:val="en-GB"/>
        </w:rPr>
        <w:t>9</w:t>
      </w:r>
      <w:r w:rsidRPr="00064CF7">
        <w:rPr>
          <w:rFonts w:ascii="Arial" w:hAnsi="Arial" w:cs="Arial"/>
          <w:iCs/>
          <w:lang w:val="en-GB"/>
        </w:rPr>
        <w:t xml:space="preserve"> Meetings of the IECEx System in </w:t>
      </w:r>
      <w:r w:rsidRPr="00206263">
        <w:rPr>
          <w:rFonts w:ascii="Arial" w:hAnsi="Arial" w:cs="Arial"/>
          <w:iCs/>
          <w:lang w:val="en-GB"/>
        </w:rPr>
        <w:t>Dubai (UAE</w:t>
      </w:r>
      <w:r w:rsidRPr="00064CF7">
        <w:rPr>
          <w:rFonts w:ascii="Arial" w:hAnsi="Arial" w:cs="Arial"/>
          <w:iCs/>
        </w:rPr>
        <w:t>).</w:t>
      </w:r>
    </w:p>
    <w:p w14:paraId="01C8F40D" w14:textId="77777777" w:rsidR="00E31DD2" w:rsidRPr="0086562F" w:rsidRDefault="00D17378" w:rsidP="001C4967">
      <w:pPr>
        <w:pStyle w:val="Header"/>
        <w:tabs>
          <w:tab w:val="clear" w:pos="4536"/>
          <w:tab w:val="clear" w:pos="9072"/>
        </w:tabs>
        <w:spacing w:after="120"/>
        <w:jc w:val="center"/>
        <w:rPr>
          <w:rFonts w:ascii="Arial" w:hAnsi="Arial" w:cs="Arial"/>
          <w:b/>
          <w:bCs/>
          <w:u w:val="single"/>
          <w:lang w:val="en-US"/>
        </w:rPr>
      </w:pPr>
      <w:r w:rsidRPr="0086562F">
        <w:rPr>
          <w:rFonts w:ascii="Arial" w:hAnsi="Arial" w:cs="Arial"/>
          <w:b/>
          <w:bCs/>
          <w:u w:val="single"/>
          <w:lang w:val="en-US"/>
        </w:rPr>
        <w:t xml:space="preserve">Status of </w:t>
      </w:r>
      <w:r w:rsidR="00E31DD2" w:rsidRPr="0086562F">
        <w:rPr>
          <w:rFonts w:ascii="Arial" w:hAnsi="Arial" w:cs="Arial"/>
          <w:b/>
          <w:bCs/>
          <w:u w:val="single"/>
          <w:lang w:val="en-US"/>
        </w:rPr>
        <w:t xml:space="preserve">Blank </w:t>
      </w:r>
      <w:proofErr w:type="spellStart"/>
      <w:r w:rsidR="00E31DD2" w:rsidRPr="0086562F">
        <w:rPr>
          <w:rFonts w:ascii="Arial" w:hAnsi="Arial" w:cs="Arial"/>
          <w:b/>
          <w:bCs/>
          <w:u w:val="single"/>
          <w:lang w:val="en-US"/>
        </w:rPr>
        <w:t>ExTR</w:t>
      </w:r>
      <w:proofErr w:type="spellEnd"/>
      <w:r w:rsidR="00E31DD2" w:rsidRPr="0086562F">
        <w:rPr>
          <w:rFonts w:ascii="Arial" w:hAnsi="Arial" w:cs="Arial"/>
          <w:b/>
          <w:bCs/>
          <w:u w:val="single"/>
          <w:lang w:val="en-US"/>
        </w:rPr>
        <w:t xml:space="preserve"> Document</w:t>
      </w:r>
      <w:r w:rsidR="00FD172F" w:rsidRPr="0086562F">
        <w:rPr>
          <w:rFonts w:ascii="Arial" w:hAnsi="Arial" w:cs="Arial"/>
          <w:b/>
          <w:bCs/>
          <w:u w:val="single"/>
          <w:lang w:val="en-US"/>
        </w:rPr>
        <w:t xml:space="preserve"> Activity Since </w:t>
      </w:r>
      <w:r w:rsidR="00400D1D" w:rsidRPr="00B02FC2">
        <w:rPr>
          <w:rFonts w:ascii="Arial" w:hAnsi="Arial" w:cs="Arial"/>
          <w:b/>
          <w:bCs/>
          <w:u w:val="single"/>
          <w:lang w:val="en-AU" w:eastAsia="en-US"/>
        </w:rPr>
        <w:t>Dubai (UAE)</w:t>
      </w:r>
      <w:r w:rsidR="00FD172F" w:rsidRPr="0086562F">
        <w:rPr>
          <w:rFonts w:ascii="Arial" w:hAnsi="Arial" w:cs="Arial"/>
          <w:b/>
          <w:bCs/>
          <w:u w:val="single"/>
          <w:lang w:val="en-US"/>
        </w:rPr>
        <w:t xml:space="preserve"> Meetings</w:t>
      </w:r>
    </w:p>
    <w:p w14:paraId="15475AC3" w14:textId="77777777" w:rsidR="00F2193C" w:rsidRPr="0086562F" w:rsidRDefault="00D17378" w:rsidP="00F2193C">
      <w:pPr>
        <w:spacing w:before="120" w:after="120"/>
        <w:rPr>
          <w:rFonts w:ascii="Arial" w:hAnsi="Arial" w:cs="Arial"/>
          <w:iCs/>
          <w:lang w:val="en-GB"/>
        </w:rPr>
      </w:pPr>
      <w:proofErr w:type="spellStart"/>
      <w:r w:rsidRPr="0086562F">
        <w:rPr>
          <w:rFonts w:ascii="Arial" w:hAnsi="Arial" w:cs="Arial"/>
          <w:iCs/>
          <w:lang w:val="en-GB"/>
        </w:rPr>
        <w:t>ExTR</w:t>
      </w:r>
      <w:proofErr w:type="spellEnd"/>
      <w:r w:rsidRPr="0086562F">
        <w:rPr>
          <w:rFonts w:ascii="Arial" w:hAnsi="Arial" w:cs="Arial"/>
          <w:iCs/>
          <w:lang w:val="en-GB"/>
        </w:rPr>
        <w:t xml:space="preserve"> </w:t>
      </w:r>
      <w:r w:rsidR="00E81A9C" w:rsidRPr="0086562F">
        <w:rPr>
          <w:rFonts w:ascii="Arial" w:hAnsi="Arial" w:cs="Arial"/>
          <w:iCs/>
          <w:lang w:val="en-GB"/>
        </w:rPr>
        <w:t>B</w:t>
      </w:r>
      <w:r w:rsidRPr="0086562F">
        <w:rPr>
          <w:rFonts w:ascii="Arial" w:hAnsi="Arial" w:cs="Arial"/>
          <w:iCs/>
          <w:lang w:val="en-GB"/>
        </w:rPr>
        <w:t xml:space="preserve">lanks are posted for all published IEC Ex standards available for use under the IECEx Certified Equipment Scheme.  </w:t>
      </w:r>
    </w:p>
    <w:p w14:paraId="6D719B9E" w14:textId="77777777" w:rsidR="004E4862" w:rsidRPr="0086562F" w:rsidRDefault="00FD172F" w:rsidP="00C95780">
      <w:pPr>
        <w:spacing w:before="120"/>
        <w:rPr>
          <w:rFonts w:ascii="Arial" w:hAnsi="Arial" w:cs="Arial"/>
          <w:iCs/>
          <w:lang w:val="en-GB"/>
        </w:rPr>
      </w:pPr>
      <w:r w:rsidRPr="0086562F">
        <w:rPr>
          <w:rFonts w:ascii="Arial" w:hAnsi="Arial" w:cs="Arial"/>
          <w:iCs/>
          <w:lang w:val="en-GB"/>
        </w:rPr>
        <w:t>T</w:t>
      </w:r>
      <w:r w:rsidR="009D1E75" w:rsidRPr="0086562F">
        <w:rPr>
          <w:rFonts w:ascii="Arial" w:hAnsi="Arial" w:cs="Arial"/>
          <w:iCs/>
          <w:lang w:val="en-GB"/>
        </w:rPr>
        <w:t xml:space="preserve">he following new </w:t>
      </w:r>
      <w:proofErr w:type="spellStart"/>
      <w:r w:rsidR="009D1E75" w:rsidRPr="0086562F">
        <w:rPr>
          <w:rFonts w:ascii="Arial" w:hAnsi="Arial" w:cs="Arial"/>
          <w:iCs/>
          <w:lang w:val="en-GB"/>
        </w:rPr>
        <w:t>E</w:t>
      </w:r>
      <w:r w:rsidR="00017729" w:rsidRPr="0086562F">
        <w:rPr>
          <w:rFonts w:ascii="Arial" w:hAnsi="Arial" w:cs="Arial"/>
          <w:iCs/>
          <w:lang w:val="en-GB"/>
        </w:rPr>
        <w:t>xTR</w:t>
      </w:r>
      <w:proofErr w:type="spellEnd"/>
      <w:r w:rsidR="00017729" w:rsidRPr="0086562F">
        <w:rPr>
          <w:rFonts w:ascii="Arial" w:hAnsi="Arial" w:cs="Arial"/>
          <w:iCs/>
          <w:lang w:val="en-GB"/>
        </w:rPr>
        <w:t xml:space="preserve"> documents have been posted…</w:t>
      </w:r>
    </w:p>
    <w:p w14:paraId="3A6BF6C2" w14:textId="77777777" w:rsidR="00FD172F" w:rsidRDefault="009D1E75" w:rsidP="002A3F33">
      <w:pPr>
        <w:numPr>
          <w:ilvl w:val="0"/>
          <w:numId w:val="30"/>
        </w:numPr>
        <w:ind w:left="720"/>
        <w:rPr>
          <w:rFonts w:ascii="Arial" w:hAnsi="Arial" w:cs="Arial"/>
          <w:iCs/>
          <w:lang w:val="en-GB"/>
        </w:rPr>
      </w:pPr>
      <w:r w:rsidRPr="0086562F">
        <w:rPr>
          <w:rFonts w:ascii="Arial" w:hAnsi="Arial" w:cs="Arial"/>
          <w:iCs/>
          <w:lang w:val="en-GB"/>
        </w:rPr>
        <w:t xml:space="preserve">Ex Test Report for IEC </w:t>
      </w:r>
      <w:r w:rsidR="00400D1D">
        <w:rPr>
          <w:rFonts w:ascii="Arial" w:hAnsi="Arial" w:cs="Arial"/>
          <w:iCs/>
          <w:lang w:val="en-GB"/>
        </w:rPr>
        <w:t>60079-10-1</w:t>
      </w:r>
      <w:r w:rsidR="00FD172F" w:rsidRPr="0086562F">
        <w:rPr>
          <w:rFonts w:ascii="Arial" w:hAnsi="Arial" w:cs="Arial"/>
          <w:iCs/>
          <w:lang w:val="en-GB"/>
        </w:rPr>
        <w:t xml:space="preserve">, Edition </w:t>
      </w:r>
      <w:r w:rsidR="00400D1D">
        <w:rPr>
          <w:rFonts w:ascii="Arial" w:hAnsi="Arial" w:cs="Arial"/>
          <w:iCs/>
          <w:lang w:val="en-GB"/>
        </w:rPr>
        <w:t>2.0</w:t>
      </w:r>
      <w:r w:rsidR="00FD172F" w:rsidRPr="0086562F">
        <w:rPr>
          <w:rFonts w:ascii="Arial" w:hAnsi="Arial" w:cs="Arial"/>
          <w:iCs/>
          <w:lang w:val="en-GB"/>
        </w:rPr>
        <w:t xml:space="preserve"> (with DS links</w:t>
      </w:r>
      <w:r w:rsidR="00FE6887">
        <w:rPr>
          <w:rFonts w:ascii="Arial" w:hAnsi="Arial" w:cs="Arial"/>
          <w:iCs/>
          <w:lang w:val="en-GB"/>
        </w:rPr>
        <w:t xml:space="preserve"> involving other than 2020 DS documents</w:t>
      </w:r>
      <w:r w:rsidR="00FD172F" w:rsidRPr="0086562F">
        <w:rPr>
          <w:rFonts w:ascii="Arial" w:hAnsi="Arial" w:cs="Arial"/>
          <w:iCs/>
          <w:lang w:val="en-GB"/>
        </w:rPr>
        <w:t>)</w:t>
      </w:r>
    </w:p>
    <w:p w14:paraId="5AE63BC7" w14:textId="77777777" w:rsidR="000335AA" w:rsidRPr="00400D1D" w:rsidRDefault="00577A63" w:rsidP="002A3F33">
      <w:pPr>
        <w:numPr>
          <w:ilvl w:val="0"/>
          <w:numId w:val="30"/>
        </w:numPr>
        <w:ind w:left="720"/>
        <w:rPr>
          <w:rFonts w:ascii="Arial" w:hAnsi="Arial" w:cs="Arial"/>
          <w:iCs/>
          <w:lang w:val="en-GB"/>
        </w:rPr>
      </w:pPr>
      <w:r>
        <w:rPr>
          <w:rFonts w:ascii="Arial" w:hAnsi="Arial" w:cs="Arial"/>
          <w:iCs/>
          <w:lang w:val="en-GB"/>
        </w:rPr>
        <w:t xml:space="preserve">Ex Test Report for IEC </w:t>
      </w:r>
      <w:r w:rsidR="00150E9F">
        <w:rPr>
          <w:rFonts w:ascii="Arial" w:hAnsi="Arial" w:cs="Arial"/>
          <w:iCs/>
          <w:lang w:val="en-GB"/>
        </w:rPr>
        <w:t>60079-10-2</w:t>
      </w:r>
      <w:r>
        <w:rPr>
          <w:rFonts w:ascii="Arial" w:hAnsi="Arial"/>
        </w:rPr>
        <w:t xml:space="preserve">, Edition </w:t>
      </w:r>
      <w:r w:rsidR="00150E9F">
        <w:rPr>
          <w:rFonts w:ascii="Arial" w:hAnsi="Arial"/>
        </w:rPr>
        <w:t>2.0</w:t>
      </w:r>
      <w:r>
        <w:rPr>
          <w:rFonts w:ascii="Arial" w:hAnsi="Arial"/>
        </w:rPr>
        <w:t xml:space="preserve"> (with DS links</w:t>
      </w:r>
      <w:r w:rsidR="00FE6887">
        <w:rPr>
          <w:rFonts w:ascii="Arial" w:hAnsi="Arial"/>
        </w:rPr>
        <w:t xml:space="preserve"> involving other than 2020 DS documents</w:t>
      </w:r>
      <w:r>
        <w:rPr>
          <w:rFonts w:ascii="Arial" w:hAnsi="Arial"/>
        </w:rPr>
        <w:t>)</w:t>
      </w:r>
    </w:p>
    <w:p w14:paraId="4D903030" w14:textId="77777777" w:rsidR="00400D1D" w:rsidRPr="00FE6887" w:rsidRDefault="00400D1D" w:rsidP="00400D1D">
      <w:pPr>
        <w:ind w:left="720"/>
        <w:rPr>
          <w:rFonts w:ascii="Arial" w:hAnsi="Arial" w:cs="Arial"/>
          <w:i/>
          <w:iCs/>
          <w:lang w:val="en-GB"/>
        </w:rPr>
      </w:pPr>
      <w:r w:rsidRPr="00FE6887">
        <w:rPr>
          <w:rFonts w:ascii="Arial" w:hAnsi="Arial"/>
          <w:i/>
          <w:iCs/>
          <w:u w:val="single"/>
        </w:rPr>
        <w:t>Note</w:t>
      </w:r>
      <w:r w:rsidRPr="00FE6887">
        <w:rPr>
          <w:rFonts w:ascii="Arial" w:hAnsi="Arial"/>
          <w:i/>
          <w:iCs/>
        </w:rPr>
        <w:t xml:space="preserve">: </w:t>
      </w:r>
      <w:proofErr w:type="spellStart"/>
      <w:r w:rsidRPr="00FE6887">
        <w:rPr>
          <w:rFonts w:ascii="Arial" w:hAnsi="Arial"/>
          <w:i/>
          <w:iCs/>
        </w:rPr>
        <w:t>ExTR</w:t>
      </w:r>
      <w:proofErr w:type="spellEnd"/>
      <w:r w:rsidRPr="00FE6887">
        <w:rPr>
          <w:rFonts w:ascii="Arial" w:hAnsi="Arial"/>
          <w:i/>
          <w:iCs/>
        </w:rPr>
        <w:t xml:space="preserve"> Blanks for </w:t>
      </w:r>
      <w:r w:rsidRPr="00FE6887">
        <w:rPr>
          <w:rFonts w:ascii="Arial" w:hAnsi="Arial"/>
          <w:i/>
          <w:iCs/>
          <w:lang w:val="en-GB"/>
        </w:rPr>
        <w:t xml:space="preserve">IEC 60079-10-1 and IEC 60079-10-2 have been created to assist with the manufacturer’s required documentation </w:t>
      </w:r>
      <w:r w:rsidR="00150E9F" w:rsidRPr="00FE6887">
        <w:rPr>
          <w:rFonts w:ascii="Arial" w:hAnsi="Arial"/>
          <w:i/>
          <w:iCs/>
          <w:lang w:val="en-GB"/>
        </w:rPr>
        <w:t xml:space="preserve">in accordance with </w:t>
      </w:r>
      <w:r w:rsidRPr="00FE6887">
        <w:rPr>
          <w:rFonts w:ascii="Arial" w:hAnsi="Arial"/>
          <w:i/>
          <w:iCs/>
          <w:lang w:val="en-GB"/>
        </w:rPr>
        <w:t xml:space="preserve">IEC TS 60079-46, but not for reference on any </w:t>
      </w:r>
      <w:proofErr w:type="spellStart"/>
      <w:r w:rsidRPr="00FE6887">
        <w:rPr>
          <w:rFonts w:ascii="Arial" w:hAnsi="Arial"/>
          <w:i/>
          <w:iCs/>
          <w:lang w:val="en-GB"/>
        </w:rPr>
        <w:t>ExTR</w:t>
      </w:r>
      <w:proofErr w:type="spellEnd"/>
      <w:r w:rsidRPr="00FE6887">
        <w:rPr>
          <w:rFonts w:ascii="Arial" w:hAnsi="Arial"/>
          <w:i/>
          <w:iCs/>
          <w:lang w:val="en-GB"/>
        </w:rPr>
        <w:t xml:space="preserve"> Cover or </w:t>
      </w:r>
      <w:proofErr w:type="spellStart"/>
      <w:r w:rsidRPr="00FE6887">
        <w:rPr>
          <w:rFonts w:ascii="Arial" w:hAnsi="Arial"/>
          <w:i/>
          <w:iCs/>
          <w:lang w:val="en-GB"/>
        </w:rPr>
        <w:t>CoC</w:t>
      </w:r>
      <w:proofErr w:type="spellEnd"/>
      <w:r w:rsidRPr="00FE6887">
        <w:rPr>
          <w:rFonts w:ascii="Arial" w:hAnsi="Arial"/>
          <w:i/>
          <w:iCs/>
          <w:lang w:val="en-GB"/>
        </w:rPr>
        <w:t xml:space="preserve"> list of standards.  Such </w:t>
      </w:r>
      <w:r w:rsidR="00150E9F" w:rsidRPr="00FE6887">
        <w:rPr>
          <w:rFonts w:ascii="Arial" w:hAnsi="Arial"/>
          <w:i/>
          <w:iCs/>
          <w:lang w:val="en-GB"/>
        </w:rPr>
        <w:t>is</w:t>
      </w:r>
      <w:r w:rsidRPr="00FE6887">
        <w:rPr>
          <w:rFonts w:ascii="Arial" w:hAnsi="Arial"/>
          <w:i/>
          <w:iCs/>
          <w:lang w:val="en-GB"/>
        </w:rPr>
        <w:t xml:space="preserve"> similar to the IEC 60079-14 </w:t>
      </w:r>
      <w:proofErr w:type="spellStart"/>
      <w:r w:rsidRPr="00FE6887">
        <w:rPr>
          <w:rFonts w:ascii="Arial" w:hAnsi="Arial"/>
          <w:i/>
          <w:iCs/>
          <w:lang w:val="en-GB"/>
        </w:rPr>
        <w:t>ExTR</w:t>
      </w:r>
      <w:proofErr w:type="spellEnd"/>
      <w:r w:rsidRPr="00FE6887">
        <w:rPr>
          <w:rFonts w:ascii="Arial" w:hAnsi="Arial"/>
          <w:i/>
          <w:iCs/>
          <w:lang w:val="en-GB"/>
        </w:rPr>
        <w:t>.</w:t>
      </w:r>
    </w:p>
    <w:p w14:paraId="2F9574AF" w14:textId="77777777" w:rsidR="00FD172F" w:rsidRPr="0086562F" w:rsidRDefault="00FD172F" w:rsidP="00C95780">
      <w:pPr>
        <w:spacing w:before="120"/>
        <w:rPr>
          <w:rFonts w:ascii="Arial" w:hAnsi="Arial" w:cs="Arial"/>
          <w:iCs/>
          <w:lang w:val="en-GB"/>
        </w:rPr>
      </w:pPr>
      <w:r w:rsidRPr="0086562F">
        <w:rPr>
          <w:rFonts w:ascii="Arial" w:hAnsi="Arial" w:cs="Arial"/>
          <w:iCs/>
          <w:lang w:val="en-GB"/>
        </w:rPr>
        <w:t xml:space="preserve">The following revised </w:t>
      </w:r>
      <w:proofErr w:type="spellStart"/>
      <w:r w:rsidRPr="0086562F">
        <w:rPr>
          <w:rFonts w:ascii="Arial" w:hAnsi="Arial" w:cs="Arial"/>
          <w:iCs/>
          <w:lang w:val="en-GB"/>
        </w:rPr>
        <w:t>ExTR</w:t>
      </w:r>
      <w:proofErr w:type="spellEnd"/>
      <w:r w:rsidRPr="0086562F">
        <w:rPr>
          <w:rFonts w:ascii="Arial" w:hAnsi="Arial" w:cs="Arial"/>
          <w:iCs/>
          <w:lang w:val="en-GB"/>
        </w:rPr>
        <w:t xml:space="preserve"> documents have been posted…</w:t>
      </w:r>
    </w:p>
    <w:p w14:paraId="13AA2FD9" w14:textId="77777777" w:rsidR="00150E9F" w:rsidRPr="00150E9F" w:rsidRDefault="00150E9F" w:rsidP="00F87A98">
      <w:pPr>
        <w:numPr>
          <w:ilvl w:val="0"/>
          <w:numId w:val="26"/>
        </w:numPr>
        <w:ind w:left="720"/>
        <w:rPr>
          <w:rFonts w:ascii="Arial" w:hAnsi="Arial" w:cs="Arial"/>
          <w:iCs/>
          <w:lang w:val="en-GB"/>
        </w:rPr>
      </w:pPr>
      <w:proofErr w:type="spellStart"/>
      <w:r w:rsidRPr="00150E9F">
        <w:rPr>
          <w:rFonts w:ascii="Arial" w:hAnsi="Arial" w:cs="Arial"/>
          <w:iCs/>
          <w:lang w:val="en-GB"/>
        </w:rPr>
        <w:t>ExTR</w:t>
      </w:r>
      <w:proofErr w:type="spellEnd"/>
      <w:r w:rsidRPr="00150E9F">
        <w:rPr>
          <w:rFonts w:ascii="Arial" w:hAnsi="Arial" w:cs="Arial"/>
          <w:iCs/>
          <w:lang w:val="en-GB"/>
        </w:rPr>
        <w:t xml:space="preserve"> Cover Sheet, Edition 8 (with a new field for the </w:t>
      </w:r>
      <w:r w:rsidRPr="00150E9F">
        <w:rPr>
          <w:rFonts w:ascii="Arial" w:hAnsi="Arial" w:cs="Arial"/>
          <w:iCs/>
          <w:lang w:val="en-US"/>
        </w:rPr>
        <w:t>date(s) of performance for all testing as required by 7.8.2.1h of ISO/IEC 17025:2017</w:t>
      </w:r>
      <w:r>
        <w:rPr>
          <w:rFonts w:ascii="Arial" w:hAnsi="Arial" w:cs="Arial"/>
          <w:iCs/>
          <w:lang w:val="en-US"/>
        </w:rPr>
        <w:t>)</w:t>
      </w:r>
      <w:r w:rsidRPr="00150E9F">
        <w:rPr>
          <w:rFonts w:ascii="Arial" w:hAnsi="Arial" w:cs="Arial"/>
          <w:iCs/>
          <w:lang w:val="en-GB"/>
        </w:rPr>
        <w:t xml:space="preserve"> </w:t>
      </w:r>
    </w:p>
    <w:p w14:paraId="02FA5C3F" w14:textId="77777777" w:rsidR="00FE6887" w:rsidRPr="00FE6887" w:rsidRDefault="00150E9F" w:rsidP="00FE6887">
      <w:pPr>
        <w:numPr>
          <w:ilvl w:val="0"/>
          <w:numId w:val="26"/>
        </w:numPr>
        <w:ind w:left="720"/>
        <w:rPr>
          <w:rFonts w:ascii="Arial" w:hAnsi="Arial" w:cs="Arial"/>
          <w:lang w:val="en-US"/>
        </w:rPr>
      </w:pPr>
      <w:r>
        <w:rPr>
          <w:rFonts w:ascii="Arial" w:hAnsi="Arial" w:cs="Arial"/>
          <w:lang w:val="en-GB"/>
        </w:rPr>
        <w:t>Ex Test Report for IEC 60079-14, Edition 5.0 (</w:t>
      </w:r>
      <w:r w:rsidR="00FE6887">
        <w:rPr>
          <w:rFonts w:ascii="Arial" w:hAnsi="Arial" w:cs="Arial"/>
          <w:lang w:val="en-GB"/>
        </w:rPr>
        <w:t>with clarification that t</w:t>
      </w:r>
      <w:r w:rsidR="00FE6887" w:rsidRPr="00FE6887">
        <w:rPr>
          <w:rFonts w:ascii="Arial" w:hAnsi="Arial" w:cs="Arial"/>
          <w:lang w:val="en-US"/>
        </w:rPr>
        <w:t xml:space="preserve">his </w:t>
      </w:r>
      <w:proofErr w:type="spellStart"/>
      <w:r w:rsidR="00FE6887">
        <w:rPr>
          <w:rFonts w:ascii="Arial" w:hAnsi="Arial" w:cs="Arial"/>
          <w:lang w:val="en-US"/>
        </w:rPr>
        <w:t>Ex</w:t>
      </w:r>
      <w:r w:rsidR="00FE6887" w:rsidRPr="00FE6887">
        <w:rPr>
          <w:rFonts w:ascii="Arial" w:hAnsi="Arial" w:cs="Arial"/>
          <w:lang w:val="en-US"/>
        </w:rPr>
        <w:t>TR</w:t>
      </w:r>
      <w:proofErr w:type="spellEnd"/>
      <w:r w:rsidR="00FE6887" w:rsidRPr="00FE6887">
        <w:rPr>
          <w:rFonts w:ascii="Arial" w:hAnsi="Arial" w:cs="Arial"/>
          <w:lang w:val="en-US"/>
        </w:rPr>
        <w:t xml:space="preserve"> is for use in support of either revisions to existing </w:t>
      </w:r>
      <w:proofErr w:type="spellStart"/>
      <w:r w:rsidR="00FE6887" w:rsidRPr="00FE6887">
        <w:rPr>
          <w:rFonts w:ascii="Arial" w:hAnsi="Arial" w:cs="Arial"/>
        </w:rPr>
        <w:t>ExTAG</w:t>
      </w:r>
      <w:proofErr w:type="spellEnd"/>
      <w:r w:rsidR="00FE6887" w:rsidRPr="00FE6887">
        <w:rPr>
          <w:rFonts w:ascii="Arial" w:hAnsi="Arial" w:cs="Arial"/>
        </w:rPr>
        <w:t xml:space="preserve"> DS 2015/001A certifications or in support of IEC TS 60079-46 evaluations, but not </w:t>
      </w:r>
      <w:r w:rsidR="00FE6887" w:rsidRPr="00FE6887">
        <w:rPr>
          <w:rFonts w:ascii="Arial" w:hAnsi="Arial"/>
          <w:lang w:val="en-GB"/>
        </w:rPr>
        <w:t xml:space="preserve">for reference on any </w:t>
      </w:r>
      <w:proofErr w:type="spellStart"/>
      <w:r w:rsidR="00FE6887" w:rsidRPr="00FE6887">
        <w:rPr>
          <w:rFonts w:ascii="Arial" w:hAnsi="Arial"/>
          <w:lang w:val="en-GB"/>
        </w:rPr>
        <w:t>ExTR</w:t>
      </w:r>
      <w:proofErr w:type="spellEnd"/>
      <w:r w:rsidR="00FE6887" w:rsidRPr="00FE6887">
        <w:rPr>
          <w:rFonts w:ascii="Arial" w:hAnsi="Arial"/>
          <w:lang w:val="en-GB"/>
        </w:rPr>
        <w:t xml:space="preserve"> Cover or </w:t>
      </w:r>
      <w:proofErr w:type="spellStart"/>
      <w:r w:rsidR="00FE6887" w:rsidRPr="00FE6887">
        <w:rPr>
          <w:rFonts w:ascii="Arial" w:hAnsi="Arial"/>
          <w:lang w:val="en-GB"/>
        </w:rPr>
        <w:t>CoC</w:t>
      </w:r>
      <w:proofErr w:type="spellEnd"/>
      <w:r w:rsidR="00FE6887" w:rsidRPr="00FE6887">
        <w:rPr>
          <w:rFonts w:ascii="Arial" w:hAnsi="Arial"/>
          <w:lang w:val="en-GB"/>
        </w:rPr>
        <w:t xml:space="preserve"> list of standards</w:t>
      </w:r>
      <w:r w:rsidR="00FE6887">
        <w:rPr>
          <w:rFonts w:ascii="Arial" w:hAnsi="Arial"/>
          <w:lang w:val="en-GB"/>
        </w:rPr>
        <w:t>)</w:t>
      </w:r>
    </w:p>
    <w:p w14:paraId="59B18A24" w14:textId="77777777" w:rsidR="00FE6887" w:rsidRPr="00FE6887" w:rsidRDefault="00FE6887" w:rsidP="00FE6887">
      <w:pPr>
        <w:numPr>
          <w:ilvl w:val="0"/>
          <w:numId w:val="26"/>
        </w:numPr>
        <w:ind w:left="7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“Format 2.0” Ex Test Reports, except for IEC 60079-0 and IEC 60079-11 Ex Test Reports </w:t>
      </w:r>
      <w:r>
        <w:rPr>
          <w:rFonts w:ascii="Arial" w:hAnsi="Arial"/>
        </w:rPr>
        <w:t>(with DS links involving other than 2020 DS documents)</w:t>
      </w:r>
    </w:p>
    <w:p w14:paraId="0B0D7C32" w14:textId="77777777" w:rsidR="004E4862" w:rsidRPr="0086562F" w:rsidRDefault="004B7F0C" w:rsidP="00C95780">
      <w:pPr>
        <w:spacing w:before="120"/>
        <w:rPr>
          <w:rFonts w:ascii="Arial" w:hAnsi="Arial" w:cs="Arial"/>
          <w:iCs/>
          <w:lang w:val="en-GB"/>
        </w:rPr>
      </w:pPr>
      <w:r w:rsidRPr="0086562F">
        <w:rPr>
          <w:rFonts w:ascii="Arial" w:hAnsi="Arial" w:cs="Arial"/>
          <w:iCs/>
          <w:lang w:val="en-GB"/>
        </w:rPr>
        <w:t>T</w:t>
      </w:r>
      <w:r w:rsidR="00017729" w:rsidRPr="0086562F">
        <w:rPr>
          <w:rFonts w:ascii="Arial" w:hAnsi="Arial" w:cs="Arial"/>
          <w:iCs/>
          <w:lang w:val="en-GB"/>
        </w:rPr>
        <w:t xml:space="preserve">he following </w:t>
      </w:r>
      <w:proofErr w:type="spellStart"/>
      <w:r w:rsidR="00017729" w:rsidRPr="0086562F">
        <w:rPr>
          <w:rFonts w:ascii="Arial" w:hAnsi="Arial" w:cs="Arial"/>
          <w:iCs/>
          <w:lang w:val="en-GB"/>
        </w:rPr>
        <w:t>ExTR</w:t>
      </w:r>
      <w:proofErr w:type="spellEnd"/>
      <w:r w:rsidR="00017729" w:rsidRPr="0086562F">
        <w:rPr>
          <w:rFonts w:ascii="Arial" w:hAnsi="Arial" w:cs="Arial"/>
          <w:iCs/>
          <w:lang w:val="en-GB"/>
        </w:rPr>
        <w:t xml:space="preserve"> documents are under </w:t>
      </w:r>
      <w:r w:rsidR="00FE6887">
        <w:rPr>
          <w:rFonts w:ascii="Arial" w:hAnsi="Arial" w:cs="Arial"/>
          <w:iCs/>
          <w:lang w:val="en-GB"/>
        </w:rPr>
        <w:t>development</w:t>
      </w:r>
      <w:r w:rsidR="00017729" w:rsidRPr="0086562F">
        <w:rPr>
          <w:rFonts w:ascii="Arial" w:hAnsi="Arial" w:cs="Arial"/>
          <w:iCs/>
          <w:lang w:val="en-GB"/>
        </w:rPr>
        <w:t>…</w:t>
      </w:r>
    </w:p>
    <w:p w14:paraId="1F6250F9" w14:textId="77777777" w:rsidR="00017729" w:rsidRPr="00E22364" w:rsidRDefault="00FE6887" w:rsidP="00E22364">
      <w:pPr>
        <w:numPr>
          <w:ilvl w:val="0"/>
          <w:numId w:val="20"/>
        </w:numPr>
        <w:ind w:left="720"/>
        <w:rPr>
          <w:rFonts w:ascii="Arial" w:hAnsi="Arial" w:cs="Arial"/>
          <w:iCs/>
          <w:lang w:val="en-GB"/>
        </w:rPr>
      </w:pPr>
      <w:r>
        <w:rPr>
          <w:rFonts w:ascii="Arial" w:hAnsi="Arial" w:cs="Arial"/>
          <w:lang w:val="en-US"/>
        </w:rPr>
        <w:t xml:space="preserve">“Format 2.0” Ex Test Reports for IEC 60079-0 and IEC 60079-11 </w:t>
      </w:r>
      <w:r>
        <w:rPr>
          <w:rFonts w:ascii="Arial" w:hAnsi="Arial"/>
        </w:rPr>
        <w:t>(with DS links)</w:t>
      </w:r>
    </w:p>
    <w:p w14:paraId="19C92CE3" w14:textId="77777777" w:rsidR="00E22364" w:rsidRPr="0086562F" w:rsidRDefault="00E22364" w:rsidP="002A3F33">
      <w:pPr>
        <w:numPr>
          <w:ilvl w:val="0"/>
          <w:numId w:val="20"/>
        </w:numPr>
        <w:spacing w:after="120"/>
        <w:ind w:left="720"/>
        <w:rPr>
          <w:rFonts w:ascii="Arial" w:hAnsi="Arial" w:cs="Arial"/>
          <w:iCs/>
          <w:lang w:val="en-GB"/>
        </w:rPr>
      </w:pPr>
      <w:r>
        <w:rPr>
          <w:rFonts w:ascii="Arial" w:hAnsi="Arial" w:cs="Arial"/>
          <w:lang w:val="en-US"/>
        </w:rPr>
        <w:t xml:space="preserve">“Format 2.0” Ex Test Reports </w:t>
      </w:r>
      <w:r w:rsidR="00197A73">
        <w:rPr>
          <w:rFonts w:ascii="Arial" w:hAnsi="Arial" w:cs="Arial"/>
          <w:lang w:val="en-US"/>
        </w:rPr>
        <w:t xml:space="preserve">other than for IEC 60079-0 and IEC 60079-11 </w:t>
      </w:r>
      <w:r>
        <w:rPr>
          <w:rFonts w:ascii="Arial" w:hAnsi="Arial"/>
        </w:rPr>
        <w:t>(with DS links involving 2020 DS documents)</w:t>
      </w:r>
    </w:p>
    <w:p w14:paraId="55CBBE6E" w14:textId="77777777" w:rsidR="00F2193C" w:rsidRPr="0086562F" w:rsidRDefault="00F2193C" w:rsidP="00C95780">
      <w:pPr>
        <w:spacing w:before="120"/>
        <w:rPr>
          <w:rFonts w:ascii="Arial" w:hAnsi="Arial" w:cs="Arial"/>
          <w:i/>
          <w:sz w:val="22"/>
          <w:szCs w:val="22"/>
          <w:lang w:val="en-GB"/>
        </w:rPr>
      </w:pPr>
      <w:r w:rsidRPr="0086562F">
        <w:rPr>
          <w:rFonts w:ascii="Arial" w:hAnsi="Arial" w:cs="Arial"/>
          <w:i/>
          <w:sz w:val="22"/>
          <w:szCs w:val="22"/>
          <w:u w:val="single"/>
          <w:lang w:val="en-GB"/>
        </w:rPr>
        <w:t>Note</w:t>
      </w:r>
      <w:r w:rsidRPr="0086562F">
        <w:rPr>
          <w:rFonts w:ascii="Arial" w:hAnsi="Arial" w:cs="Arial"/>
          <w:i/>
          <w:sz w:val="22"/>
          <w:szCs w:val="22"/>
          <w:lang w:val="en-GB"/>
        </w:rPr>
        <w:t xml:space="preserve">: The following IEC Ex standards do not have </w:t>
      </w:r>
      <w:proofErr w:type="spellStart"/>
      <w:r w:rsidRPr="0086562F">
        <w:rPr>
          <w:rFonts w:ascii="Arial" w:hAnsi="Arial" w:cs="Arial"/>
          <w:i/>
          <w:sz w:val="22"/>
          <w:szCs w:val="22"/>
          <w:lang w:val="en-GB"/>
        </w:rPr>
        <w:t>ExTR</w:t>
      </w:r>
      <w:proofErr w:type="spellEnd"/>
      <w:r w:rsidRPr="0086562F">
        <w:rPr>
          <w:rFonts w:ascii="Arial" w:hAnsi="Arial" w:cs="Arial"/>
          <w:i/>
          <w:sz w:val="22"/>
          <w:szCs w:val="22"/>
          <w:lang w:val="en-GB"/>
        </w:rPr>
        <w:t xml:space="preserve"> Blanks based on direction </w:t>
      </w:r>
      <w:r w:rsidR="004F5044" w:rsidRPr="0086562F">
        <w:rPr>
          <w:rFonts w:ascii="Arial" w:hAnsi="Arial" w:cs="Arial"/>
          <w:i/>
          <w:sz w:val="22"/>
          <w:szCs w:val="22"/>
          <w:lang w:val="en-GB"/>
        </w:rPr>
        <w:t>from</w:t>
      </w:r>
      <w:r w:rsidRPr="0086562F">
        <w:rPr>
          <w:rFonts w:ascii="Arial" w:hAnsi="Arial" w:cs="Arial"/>
          <w:i/>
          <w:sz w:val="22"/>
          <w:szCs w:val="22"/>
          <w:lang w:val="en-GB"/>
        </w:rPr>
        <w:t xml:space="preserve"> </w:t>
      </w:r>
      <w:proofErr w:type="spellStart"/>
      <w:r w:rsidRPr="0086562F">
        <w:rPr>
          <w:rFonts w:ascii="Arial" w:hAnsi="Arial" w:cs="Arial"/>
          <w:i/>
          <w:sz w:val="22"/>
          <w:szCs w:val="22"/>
          <w:lang w:val="en-GB"/>
        </w:rPr>
        <w:t>ExTAG</w:t>
      </w:r>
      <w:proofErr w:type="spellEnd"/>
      <w:r w:rsidRPr="0086562F">
        <w:rPr>
          <w:rFonts w:ascii="Arial" w:hAnsi="Arial" w:cs="Arial"/>
          <w:i/>
          <w:sz w:val="22"/>
          <w:szCs w:val="22"/>
          <w:lang w:val="en-GB"/>
        </w:rPr>
        <w:t>…</w:t>
      </w:r>
    </w:p>
    <w:p w14:paraId="0455641F" w14:textId="77777777" w:rsidR="00F2193C" w:rsidRPr="0086562F" w:rsidRDefault="00F2193C" w:rsidP="00F2193C">
      <w:pPr>
        <w:numPr>
          <w:ilvl w:val="0"/>
          <w:numId w:val="28"/>
        </w:numPr>
        <w:rPr>
          <w:rFonts w:ascii="Arial" w:hAnsi="Arial" w:cs="Arial"/>
          <w:i/>
          <w:sz w:val="22"/>
          <w:szCs w:val="22"/>
          <w:lang w:val="en-GB"/>
        </w:rPr>
      </w:pPr>
      <w:r w:rsidRPr="0086562F">
        <w:rPr>
          <w:rFonts w:ascii="Arial" w:hAnsi="Arial" w:cs="Arial"/>
          <w:i/>
          <w:sz w:val="22"/>
          <w:szCs w:val="22"/>
          <w:lang w:val="en-GB"/>
        </w:rPr>
        <w:t>IEC 60079-29-3:2014, “</w:t>
      </w:r>
      <w:r w:rsidRPr="0086562F">
        <w:rPr>
          <w:rFonts w:ascii="Arial" w:hAnsi="Arial" w:cs="Arial"/>
          <w:i/>
          <w:sz w:val="22"/>
          <w:szCs w:val="22"/>
          <w:lang w:val="en-US"/>
        </w:rPr>
        <w:t>Explosive atmospheres – Part 29-3: Gas detectors – Guidance on functional safety of fixed gas detection systems”</w:t>
      </w:r>
    </w:p>
    <w:p w14:paraId="5AEEAACA" w14:textId="77777777" w:rsidR="00F2193C" w:rsidRPr="0086562F" w:rsidRDefault="00F2193C" w:rsidP="00F2193C">
      <w:pPr>
        <w:numPr>
          <w:ilvl w:val="0"/>
          <w:numId w:val="28"/>
        </w:numPr>
        <w:rPr>
          <w:rFonts w:ascii="Arial" w:hAnsi="Arial" w:cs="Arial"/>
          <w:i/>
          <w:sz w:val="22"/>
          <w:szCs w:val="22"/>
          <w:lang w:val="en-US"/>
        </w:rPr>
      </w:pPr>
      <w:r w:rsidRPr="0086562F">
        <w:rPr>
          <w:rFonts w:ascii="Arial" w:hAnsi="Arial" w:cs="Arial"/>
          <w:i/>
          <w:sz w:val="22"/>
          <w:szCs w:val="22"/>
          <w:lang w:val="en-US"/>
        </w:rPr>
        <w:t>IEC TS 60079-32-1, “Explosive atmospheres – Part 32-1: Electrostatic hazards, guidance”</w:t>
      </w:r>
    </w:p>
    <w:p w14:paraId="111AE3B3" w14:textId="77777777" w:rsidR="00F2193C" w:rsidRPr="0086562F" w:rsidRDefault="00F2193C" w:rsidP="00F2193C">
      <w:pPr>
        <w:numPr>
          <w:ilvl w:val="0"/>
          <w:numId w:val="28"/>
        </w:numPr>
        <w:rPr>
          <w:rFonts w:ascii="Arial" w:hAnsi="Arial" w:cs="Arial"/>
          <w:i/>
          <w:sz w:val="22"/>
          <w:szCs w:val="22"/>
          <w:lang w:val="en-US"/>
        </w:rPr>
      </w:pPr>
      <w:r w:rsidRPr="0086562F">
        <w:rPr>
          <w:rFonts w:ascii="Arial" w:hAnsi="Arial" w:cs="Arial"/>
          <w:i/>
          <w:sz w:val="22"/>
          <w:szCs w:val="22"/>
          <w:lang w:val="en-US"/>
        </w:rPr>
        <w:t>IEC 60079-32-2, “Explosive atmospheres – Part 32-2: Electrostatics hazards – Tests”</w:t>
      </w:r>
    </w:p>
    <w:p w14:paraId="4F9DF51C" w14:textId="77777777" w:rsidR="00F2193C" w:rsidRPr="0086562F" w:rsidRDefault="00F2193C" w:rsidP="001C4967">
      <w:pPr>
        <w:numPr>
          <w:ilvl w:val="0"/>
          <w:numId w:val="28"/>
        </w:numPr>
        <w:rPr>
          <w:rFonts w:ascii="Arial" w:hAnsi="Arial" w:cs="Arial"/>
          <w:i/>
          <w:lang w:val="en-US"/>
        </w:rPr>
      </w:pPr>
      <w:r w:rsidRPr="0086562F">
        <w:rPr>
          <w:rFonts w:ascii="Arial" w:hAnsi="Arial" w:cs="Arial"/>
          <w:i/>
          <w:sz w:val="22"/>
          <w:szCs w:val="22"/>
          <w:lang w:val="en-US"/>
        </w:rPr>
        <w:t>IEC TS 60079-43:2017, “Explosive atmospheres – Part 43: Equipment in adverse service conditions”</w:t>
      </w:r>
    </w:p>
    <w:p w14:paraId="79D11E04" w14:textId="77777777" w:rsidR="008B6FA9" w:rsidRPr="0086562F" w:rsidRDefault="00B9760F" w:rsidP="001C4967">
      <w:pPr>
        <w:pStyle w:val="Heading2"/>
        <w:spacing w:before="240" w:after="120"/>
      </w:pPr>
      <w:r w:rsidRPr="0086562F">
        <w:t xml:space="preserve">Status of </w:t>
      </w:r>
      <w:r w:rsidR="004B7F0C" w:rsidRPr="0086562F">
        <w:t xml:space="preserve">Operational Document Activity Since </w:t>
      </w:r>
      <w:r w:rsidR="00E22364" w:rsidRPr="00B02FC2">
        <w:rPr>
          <w:bCs/>
          <w:lang w:val="en-AU"/>
        </w:rPr>
        <w:t>Dubai (UAE)</w:t>
      </w:r>
      <w:r w:rsidR="004B7F0C" w:rsidRPr="0086562F">
        <w:t xml:space="preserve"> Meetings</w:t>
      </w:r>
    </w:p>
    <w:p w14:paraId="66798067" w14:textId="77777777" w:rsidR="00AF278E" w:rsidRPr="0086562F" w:rsidRDefault="004B7F0C" w:rsidP="00AF278E">
      <w:pPr>
        <w:spacing w:before="120"/>
        <w:rPr>
          <w:rFonts w:ascii="Arial" w:hAnsi="Arial" w:cs="Arial"/>
          <w:iCs/>
          <w:lang w:val="en-GB"/>
        </w:rPr>
      </w:pPr>
      <w:r w:rsidRPr="0086562F">
        <w:rPr>
          <w:rFonts w:ascii="Arial" w:hAnsi="Arial" w:cs="Arial"/>
          <w:iCs/>
          <w:lang w:val="en-GB"/>
        </w:rPr>
        <w:t>T</w:t>
      </w:r>
      <w:r w:rsidR="00AF278E" w:rsidRPr="0086562F">
        <w:rPr>
          <w:rFonts w:ascii="Arial" w:hAnsi="Arial" w:cs="Arial"/>
          <w:iCs/>
          <w:lang w:val="en-GB"/>
        </w:rPr>
        <w:t>he following OD document</w:t>
      </w:r>
      <w:r w:rsidR="006B7892" w:rsidRPr="0086562F">
        <w:rPr>
          <w:rFonts w:ascii="Arial" w:hAnsi="Arial" w:cs="Arial"/>
          <w:iCs/>
          <w:lang w:val="en-GB"/>
        </w:rPr>
        <w:t>s</w:t>
      </w:r>
      <w:r w:rsidR="0026210B" w:rsidRPr="0086562F">
        <w:rPr>
          <w:rFonts w:ascii="Arial" w:hAnsi="Arial" w:cs="Arial"/>
          <w:iCs/>
          <w:lang w:val="en-GB"/>
        </w:rPr>
        <w:t xml:space="preserve"> </w:t>
      </w:r>
      <w:r w:rsidR="006B7892" w:rsidRPr="0086562F">
        <w:rPr>
          <w:rFonts w:ascii="Arial" w:hAnsi="Arial" w:cs="Arial"/>
          <w:iCs/>
          <w:lang w:val="en-GB"/>
        </w:rPr>
        <w:t>are</w:t>
      </w:r>
      <w:r w:rsidR="0026210B" w:rsidRPr="0086562F">
        <w:rPr>
          <w:rFonts w:ascii="Arial" w:hAnsi="Arial" w:cs="Arial"/>
          <w:iCs/>
          <w:lang w:val="en-GB"/>
        </w:rPr>
        <w:t xml:space="preserve"> </w:t>
      </w:r>
      <w:r w:rsidR="00AF278E" w:rsidRPr="0086562F">
        <w:rPr>
          <w:rFonts w:ascii="Arial" w:hAnsi="Arial" w:cs="Arial"/>
          <w:iCs/>
          <w:lang w:val="en-GB"/>
        </w:rPr>
        <w:t xml:space="preserve">under </w:t>
      </w:r>
      <w:r w:rsidR="00F53614" w:rsidRPr="0086562F">
        <w:rPr>
          <w:rFonts w:ascii="Arial" w:hAnsi="Arial" w:cs="Arial"/>
          <w:iCs/>
          <w:lang w:val="en-GB"/>
        </w:rPr>
        <w:t>development</w:t>
      </w:r>
      <w:r w:rsidR="00AF278E" w:rsidRPr="0086562F">
        <w:rPr>
          <w:rFonts w:ascii="Arial" w:hAnsi="Arial" w:cs="Arial"/>
          <w:iCs/>
          <w:lang w:val="en-GB"/>
        </w:rPr>
        <w:t>…</w:t>
      </w:r>
    </w:p>
    <w:p w14:paraId="5E3FE07C" w14:textId="77777777" w:rsidR="009A6CE9" w:rsidRPr="0086562F" w:rsidRDefault="009A6CE9" w:rsidP="002A3F33">
      <w:pPr>
        <w:numPr>
          <w:ilvl w:val="0"/>
          <w:numId w:val="20"/>
        </w:numPr>
        <w:ind w:left="720"/>
        <w:rPr>
          <w:rFonts w:ascii="Arial" w:hAnsi="Arial" w:cs="Arial"/>
          <w:iCs/>
          <w:lang w:val="en-GB"/>
        </w:rPr>
      </w:pPr>
      <w:r w:rsidRPr="0086562F">
        <w:rPr>
          <w:rFonts w:ascii="Arial" w:hAnsi="Arial" w:cs="Arial"/>
          <w:iCs/>
          <w:lang w:val="en-GB"/>
        </w:rPr>
        <w:t xml:space="preserve">OD 010-1, </w:t>
      </w:r>
      <w:r w:rsidR="006B7892" w:rsidRPr="0086562F">
        <w:rPr>
          <w:rFonts w:ascii="Arial" w:hAnsi="Arial" w:cs="Arial"/>
          <w:iCs/>
          <w:lang w:val="en-GB"/>
        </w:rPr>
        <w:t>Edition 3.0</w:t>
      </w:r>
      <w:r w:rsidR="006B7892" w:rsidRPr="0086562F">
        <w:rPr>
          <w:rFonts w:ascii="Arial" w:hAnsi="Arial" w:cs="Arial"/>
        </w:rPr>
        <w:t>, to reflect current practices</w:t>
      </w:r>
    </w:p>
    <w:p w14:paraId="5393D28E" w14:textId="77777777" w:rsidR="00AF278E" w:rsidRPr="0086562F" w:rsidRDefault="00AF278E" w:rsidP="002A3F33">
      <w:pPr>
        <w:numPr>
          <w:ilvl w:val="0"/>
          <w:numId w:val="20"/>
        </w:numPr>
        <w:spacing w:after="120"/>
        <w:ind w:left="720"/>
        <w:rPr>
          <w:rFonts w:ascii="Arial" w:hAnsi="Arial" w:cs="Arial"/>
          <w:iCs/>
          <w:lang w:val="en-GB"/>
        </w:rPr>
      </w:pPr>
      <w:r w:rsidRPr="0086562F">
        <w:rPr>
          <w:rFonts w:ascii="Arial" w:hAnsi="Arial" w:cs="Arial"/>
          <w:iCs/>
          <w:lang w:val="en-GB"/>
        </w:rPr>
        <w:t>OD 010-</w:t>
      </w:r>
      <w:r w:rsidR="0093628A" w:rsidRPr="0086562F">
        <w:rPr>
          <w:rFonts w:ascii="Arial" w:hAnsi="Arial" w:cs="Arial"/>
          <w:iCs/>
          <w:lang w:val="en-GB"/>
        </w:rPr>
        <w:t>2</w:t>
      </w:r>
      <w:r w:rsidRPr="0086562F">
        <w:rPr>
          <w:rFonts w:ascii="Arial" w:hAnsi="Arial" w:cs="Arial"/>
          <w:iCs/>
          <w:lang w:val="en-GB"/>
        </w:rPr>
        <w:t xml:space="preserve">, </w:t>
      </w:r>
      <w:r w:rsidR="006B7892" w:rsidRPr="0086562F">
        <w:rPr>
          <w:rFonts w:ascii="Arial" w:hAnsi="Arial" w:cs="Arial"/>
          <w:iCs/>
          <w:lang w:val="en-GB"/>
        </w:rPr>
        <w:t>Edition 4.0</w:t>
      </w:r>
      <w:r w:rsidRPr="0086562F">
        <w:rPr>
          <w:rFonts w:ascii="Arial" w:hAnsi="Arial" w:cs="Arial"/>
        </w:rPr>
        <w:t xml:space="preserve">, </w:t>
      </w:r>
      <w:r w:rsidR="00304494" w:rsidRPr="0086562F">
        <w:rPr>
          <w:rFonts w:ascii="Arial" w:hAnsi="Arial" w:cs="Arial"/>
        </w:rPr>
        <w:t>to reflect current practices</w:t>
      </w:r>
    </w:p>
    <w:p w14:paraId="690185CC" w14:textId="77777777" w:rsidR="00B9760F" w:rsidRPr="0086562F" w:rsidRDefault="00B9760F" w:rsidP="00222A6E">
      <w:pPr>
        <w:spacing w:before="120"/>
        <w:rPr>
          <w:rFonts w:ascii="Arial" w:hAnsi="Arial" w:cs="Arial"/>
          <w:i/>
          <w:iCs/>
          <w:sz w:val="22"/>
          <w:szCs w:val="22"/>
          <w:lang w:val="en-GB"/>
        </w:rPr>
      </w:pPr>
      <w:r w:rsidRPr="0086562F">
        <w:rPr>
          <w:rFonts w:ascii="Arial" w:hAnsi="Arial" w:cs="Arial"/>
          <w:i/>
          <w:iCs/>
          <w:sz w:val="22"/>
          <w:szCs w:val="22"/>
          <w:u w:val="single"/>
        </w:rPr>
        <w:t>Note</w:t>
      </w:r>
      <w:r w:rsidRPr="0086562F">
        <w:rPr>
          <w:rFonts w:ascii="Arial" w:hAnsi="Arial" w:cs="Arial"/>
          <w:i/>
          <w:iCs/>
          <w:sz w:val="22"/>
          <w:szCs w:val="22"/>
        </w:rPr>
        <w:t>: This OD activity is behind schedule, with proposed revisions expected before the end of 20</w:t>
      </w:r>
      <w:r w:rsidR="00E22364">
        <w:rPr>
          <w:rFonts w:ascii="Arial" w:hAnsi="Arial" w:cs="Arial"/>
          <w:i/>
          <w:iCs/>
          <w:sz w:val="22"/>
          <w:szCs w:val="22"/>
        </w:rPr>
        <w:t>20</w:t>
      </w:r>
      <w:r w:rsidRPr="0086562F">
        <w:rPr>
          <w:rFonts w:ascii="Arial" w:hAnsi="Arial" w:cs="Arial"/>
          <w:i/>
          <w:iCs/>
          <w:sz w:val="22"/>
          <w:szCs w:val="22"/>
        </w:rPr>
        <w:t>.</w:t>
      </w:r>
    </w:p>
    <w:p w14:paraId="7A76D8BE" w14:textId="77777777" w:rsidR="008B6FA9" w:rsidRPr="0086562F" w:rsidRDefault="00B9760F" w:rsidP="00222A6E">
      <w:pPr>
        <w:pStyle w:val="Heading2"/>
        <w:spacing w:before="240" w:after="120"/>
        <w:rPr>
          <w:bCs/>
          <w:lang w:val="en-AU"/>
        </w:rPr>
      </w:pPr>
      <w:r w:rsidRPr="0086562F">
        <w:rPr>
          <w:bCs/>
          <w:lang w:val="en-AU"/>
        </w:rPr>
        <w:lastRenderedPageBreak/>
        <w:t xml:space="preserve">Status of </w:t>
      </w:r>
      <w:r w:rsidR="008B6FA9" w:rsidRPr="0086562F">
        <w:rPr>
          <w:bCs/>
          <w:lang w:val="en-AU"/>
        </w:rPr>
        <w:t>Meetings</w:t>
      </w:r>
      <w:r w:rsidR="00F53614" w:rsidRPr="0086562F">
        <w:t xml:space="preserve"> Since </w:t>
      </w:r>
      <w:r w:rsidR="00E22364" w:rsidRPr="00B02FC2">
        <w:rPr>
          <w:bCs/>
          <w:lang w:val="en-AU"/>
        </w:rPr>
        <w:t>Dubai (UAE)</w:t>
      </w:r>
      <w:r w:rsidR="00F53614" w:rsidRPr="0086562F">
        <w:t xml:space="preserve"> Meetings</w:t>
      </w:r>
    </w:p>
    <w:p w14:paraId="3C65F7F8" w14:textId="77777777" w:rsidR="00E22364" w:rsidRPr="00064CF7" w:rsidRDefault="00E22364" w:rsidP="00E22364">
      <w:pPr>
        <w:spacing w:after="120"/>
        <w:rPr>
          <w:rFonts w:ascii="Arial" w:hAnsi="Arial" w:cs="Arial"/>
          <w:iCs/>
          <w:lang w:val="en-GB"/>
        </w:rPr>
      </w:pPr>
      <w:bookmarkStart w:id="0" w:name="_Hlk51764753"/>
      <w:r w:rsidRPr="00064CF7">
        <w:rPr>
          <w:rFonts w:ascii="Arial" w:hAnsi="Arial" w:cs="Arial"/>
          <w:iCs/>
          <w:lang w:val="en-GB"/>
        </w:rPr>
        <w:t xml:space="preserve">No meetings </w:t>
      </w:r>
      <w:r>
        <w:rPr>
          <w:rFonts w:ascii="Arial" w:hAnsi="Arial" w:cs="Arial"/>
          <w:iCs/>
          <w:lang w:val="en-GB"/>
        </w:rPr>
        <w:t xml:space="preserve">of </w:t>
      </w:r>
      <w:proofErr w:type="spellStart"/>
      <w:r>
        <w:rPr>
          <w:rFonts w:ascii="Arial" w:hAnsi="Arial" w:cs="Arial"/>
          <w:iCs/>
          <w:lang w:val="en-GB"/>
        </w:rPr>
        <w:t>ExTAG</w:t>
      </w:r>
      <w:proofErr w:type="spellEnd"/>
      <w:r>
        <w:rPr>
          <w:rFonts w:ascii="Arial" w:hAnsi="Arial" w:cs="Arial"/>
          <w:iCs/>
          <w:lang w:val="en-GB"/>
        </w:rPr>
        <w:t xml:space="preserve"> WG01 were </w:t>
      </w:r>
      <w:r w:rsidRPr="00064CF7">
        <w:rPr>
          <w:rFonts w:ascii="Arial" w:hAnsi="Arial" w:cs="Arial"/>
          <w:iCs/>
          <w:lang w:val="en-GB"/>
        </w:rPr>
        <w:t>held since the 201</w:t>
      </w:r>
      <w:r>
        <w:rPr>
          <w:rFonts w:ascii="Arial" w:hAnsi="Arial" w:cs="Arial"/>
          <w:iCs/>
          <w:lang w:val="en-GB"/>
        </w:rPr>
        <w:t>9</w:t>
      </w:r>
      <w:r w:rsidRPr="00064CF7">
        <w:rPr>
          <w:rFonts w:ascii="Arial" w:hAnsi="Arial" w:cs="Arial"/>
          <w:iCs/>
          <w:lang w:val="en-GB"/>
        </w:rPr>
        <w:t xml:space="preserve"> Meetings of the IECEx System in </w:t>
      </w:r>
      <w:r>
        <w:rPr>
          <w:rFonts w:ascii="Arial" w:hAnsi="Arial" w:cs="Arial"/>
          <w:iCs/>
          <w:lang w:val="en-GB"/>
        </w:rPr>
        <w:t>Dubai (UAE</w:t>
      </w:r>
      <w:r w:rsidRPr="00064CF7">
        <w:rPr>
          <w:rFonts w:ascii="Arial" w:hAnsi="Arial" w:cs="Arial"/>
          <w:iCs/>
        </w:rPr>
        <w:t>).</w:t>
      </w:r>
    </w:p>
    <w:bookmarkEnd w:id="0"/>
    <w:p w14:paraId="2EE6C42E" w14:textId="77777777" w:rsidR="0093628A" w:rsidRPr="0086562F" w:rsidRDefault="0050303A" w:rsidP="001C4967">
      <w:pPr>
        <w:pStyle w:val="Heading2"/>
        <w:spacing w:before="240" w:after="120"/>
        <w:rPr>
          <w:bCs/>
          <w:lang w:val="en-AU"/>
        </w:rPr>
      </w:pPr>
      <w:r w:rsidRPr="0086562F">
        <w:rPr>
          <w:bCs/>
          <w:lang w:val="en-AU"/>
        </w:rPr>
        <w:t xml:space="preserve">Issues for </w:t>
      </w:r>
      <w:proofErr w:type="spellStart"/>
      <w:r w:rsidRPr="0086562F">
        <w:rPr>
          <w:bCs/>
          <w:lang w:val="en-AU"/>
        </w:rPr>
        <w:t>ExTAG</w:t>
      </w:r>
      <w:proofErr w:type="spellEnd"/>
      <w:r w:rsidRPr="0086562F">
        <w:rPr>
          <w:bCs/>
          <w:lang w:val="en-AU"/>
        </w:rPr>
        <w:t xml:space="preserve"> Consideration</w:t>
      </w:r>
    </w:p>
    <w:p w14:paraId="6600DF71" w14:textId="77777777" w:rsidR="0050303A" w:rsidRPr="0086562F" w:rsidRDefault="001145E1" w:rsidP="0050303A">
      <w:pPr>
        <w:spacing w:before="120"/>
        <w:rPr>
          <w:rFonts w:ascii="Arial" w:hAnsi="Arial" w:cs="Arial"/>
          <w:iCs/>
          <w:lang w:val="en-GB"/>
        </w:rPr>
      </w:pPr>
      <w:r>
        <w:rPr>
          <w:rFonts w:ascii="Arial" w:hAnsi="Arial" w:cs="Arial"/>
          <w:iCs/>
          <w:lang w:val="en-GB"/>
        </w:rPr>
        <w:t>T</w:t>
      </w:r>
      <w:r w:rsidRPr="001145E1">
        <w:rPr>
          <w:rFonts w:ascii="Arial" w:hAnsi="Arial" w:cs="Arial"/>
          <w:iCs/>
          <w:lang w:val="en-GB"/>
        </w:rPr>
        <w:t xml:space="preserve">he following issues </w:t>
      </w:r>
      <w:r w:rsidRPr="0086562F">
        <w:rPr>
          <w:rFonts w:ascii="Arial" w:hAnsi="Arial" w:cs="Arial"/>
          <w:iCs/>
          <w:lang w:val="en-GB"/>
        </w:rPr>
        <w:t>s</w:t>
      </w:r>
      <w:r w:rsidR="0050303A" w:rsidRPr="0086562F">
        <w:rPr>
          <w:rFonts w:ascii="Arial" w:hAnsi="Arial" w:cs="Arial"/>
          <w:iCs/>
          <w:lang w:val="en-GB"/>
        </w:rPr>
        <w:t xml:space="preserve">ince the last meeting in </w:t>
      </w:r>
      <w:r w:rsidR="001D6203" w:rsidRPr="0086562F">
        <w:rPr>
          <w:rFonts w:ascii="Arial" w:hAnsi="Arial" w:cs="Arial"/>
          <w:iCs/>
        </w:rPr>
        <w:t>Cannes (France)</w:t>
      </w:r>
      <w:r w:rsidRPr="0086562F">
        <w:rPr>
          <w:rFonts w:ascii="Arial" w:hAnsi="Arial" w:cs="Arial"/>
          <w:iCs/>
          <w:lang w:val="en-GB"/>
        </w:rPr>
        <w:t xml:space="preserve"> are submitted </w:t>
      </w:r>
      <w:r w:rsidR="0050303A" w:rsidRPr="0086562F">
        <w:rPr>
          <w:rFonts w:ascii="Arial" w:hAnsi="Arial" w:cs="Arial"/>
          <w:iCs/>
          <w:lang w:val="en-GB"/>
        </w:rPr>
        <w:t xml:space="preserve">for </w:t>
      </w:r>
      <w:proofErr w:type="spellStart"/>
      <w:r w:rsidR="0050303A" w:rsidRPr="0086562F">
        <w:rPr>
          <w:rFonts w:ascii="Arial" w:hAnsi="Arial" w:cs="Arial"/>
          <w:iCs/>
          <w:lang w:val="en-GB"/>
        </w:rPr>
        <w:t>ExTAG</w:t>
      </w:r>
      <w:proofErr w:type="spellEnd"/>
      <w:r w:rsidR="0050303A" w:rsidRPr="0086562F">
        <w:rPr>
          <w:rFonts w:ascii="Arial" w:hAnsi="Arial" w:cs="Arial"/>
          <w:iCs/>
          <w:lang w:val="en-GB"/>
        </w:rPr>
        <w:t xml:space="preserve"> consideration…</w:t>
      </w:r>
    </w:p>
    <w:p w14:paraId="4A88DDDF" w14:textId="77777777" w:rsidR="00940DFF" w:rsidRDefault="006C0D10" w:rsidP="003F223E">
      <w:pPr>
        <w:spacing w:before="120"/>
        <w:ind w:left="360"/>
        <w:rPr>
          <w:rFonts w:ascii="Arial" w:hAnsi="Arial" w:cs="Arial"/>
          <w:iCs/>
          <w:lang w:val="en-GB"/>
        </w:rPr>
      </w:pPr>
      <w:r w:rsidRPr="0086562F">
        <w:rPr>
          <w:rFonts w:ascii="Arial" w:hAnsi="Arial" w:cs="Arial"/>
          <w:iCs/>
          <w:u w:val="single"/>
          <w:lang w:val="en-GB"/>
        </w:rPr>
        <w:t xml:space="preserve">Document requests from Issuing </w:t>
      </w:r>
      <w:proofErr w:type="spellStart"/>
      <w:r w:rsidRPr="0086562F">
        <w:rPr>
          <w:rFonts w:ascii="Arial" w:hAnsi="Arial" w:cs="Arial"/>
          <w:iCs/>
          <w:u w:val="single"/>
          <w:lang w:val="en-GB"/>
        </w:rPr>
        <w:t>ExCBs</w:t>
      </w:r>
      <w:proofErr w:type="spellEnd"/>
      <w:r w:rsidRPr="0086562F">
        <w:rPr>
          <w:rFonts w:ascii="Arial" w:hAnsi="Arial" w:cs="Arial"/>
          <w:iCs/>
          <w:u w:val="single"/>
          <w:lang w:val="en-GB"/>
        </w:rPr>
        <w:t xml:space="preserve"> by </w:t>
      </w:r>
      <w:r w:rsidR="0043614C" w:rsidRPr="0086562F">
        <w:rPr>
          <w:rFonts w:ascii="Arial" w:hAnsi="Arial" w:cs="Arial"/>
          <w:iCs/>
          <w:u w:val="single"/>
          <w:lang w:val="en-GB"/>
        </w:rPr>
        <w:t xml:space="preserve">Receiving </w:t>
      </w:r>
      <w:proofErr w:type="spellStart"/>
      <w:r w:rsidR="0043614C" w:rsidRPr="0086562F">
        <w:rPr>
          <w:rFonts w:ascii="Arial" w:hAnsi="Arial" w:cs="Arial"/>
          <w:iCs/>
          <w:u w:val="single"/>
          <w:lang w:val="en-GB"/>
        </w:rPr>
        <w:t>ExCB</w:t>
      </w:r>
      <w:r w:rsidRPr="0086562F">
        <w:rPr>
          <w:rFonts w:ascii="Arial" w:hAnsi="Arial" w:cs="Arial"/>
          <w:iCs/>
          <w:u w:val="single"/>
          <w:lang w:val="en-GB"/>
        </w:rPr>
        <w:t>s</w:t>
      </w:r>
      <w:proofErr w:type="spellEnd"/>
      <w:r w:rsidRPr="0086562F">
        <w:rPr>
          <w:rFonts w:ascii="Arial" w:hAnsi="Arial" w:cs="Arial"/>
          <w:iCs/>
          <w:lang w:val="en-GB"/>
        </w:rPr>
        <w:t>:</w:t>
      </w:r>
      <w:r w:rsidR="00D02A72" w:rsidRPr="0086562F">
        <w:rPr>
          <w:rFonts w:ascii="Arial" w:hAnsi="Arial" w:cs="Arial"/>
          <w:iCs/>
          <w:lang w:val="en-GB"/>
        </w:rPr>
        <w:t xml:space="preserve"> It is understood that an </w:t>
      </w:r>
      <w:proofErr w:type="spellStart"/>
      <w:r w:rsidR="00D02A72" w:rsidRPr="0086562F">
        <w:rPr>
          <w:rFonts w:ascii="Arial" w:hAnsi="Arial" w:cs="Arial"/>
          <w:iCs/>
          <w:lang w:val="en-GB"/>
        </w:rPr>
        <w:t>ExTR</w:t>
      </w:r>
      <w:proofErr w:type="spellEnd"/>
      <w:r w:rsidR="00D02A72" w:rsidRPr="0086562F">
        <w:rPr>
          <w:rFonts w:ascii="Arial" w:hAnsi="Arial" w:cs="Arial"/>
          <w:iCs/>
          <w:lang w:val="en-GB"/>
        </w:rPr>
        <w:t xml:space="preserve"> package provided to a Receiving </w:t>
      </w:r>
      <w:proofErr w:type="spellStart"/>
      <w:r w:rsidR="00D02A72" w:rsidRPr="0086562F">
        <w:rPr>
          <w:rFonts w:ascii="Arial" w:hAnsi="Arial" w:cs="Arial"/>
          <w:iCs/>
          <w:lang w:val="en-GB"/>
        </w:rPr>
        <w:t>ExTR</w:t>
      </w:r>
      <w:proofErr w:type="spellEnd"/>
      <w:r w:rsidR="00D02A72" w:rsidRPr="0086562F">
        <w:rPr>
          <w:rFonts w:ascii="Arial" w:hAnsi="Arial" w:cs="Arial"/>
          <w:iCs/>
          <w:lang w:val="en-GB"/>
        </w:rPr>
        <w:t xml:space="preserve"> needs to include all documents detailed </w:t>
      </w:r>
      <w:r w:rsidR="00CC0ADA" w:rsidRPr="0086562F">
        <w:rPr>
          <w:rFonts w:ascii="Arial" w:hAnsi="Arial" w:cs="Arial"/>
          <w:iCs/>
          <w:lang w:val="en-GB"/>
        </w:rPr>
        <w:t xml:space="preserve">in </w:t>
      </w:r>
      <w:r w:rsidR="00D02A72" w:rsidRPr="0086562F">
        <w:rPr>
          <w:rFonts w:ascii="Arial" w:hAnsi="Arial" w:cs="Arial"/>
          <w:iCs/>
          <w:lang w:val="en-GB"/>
        </w:rPr>
        <w:t xml:space="preserve">the </w:t>
      </w:r>
      <w:proofErr w:type="spellStart"/>
      <w:r w:rsidR="00D02A72" w:rsidRPr="0086562F">
        <w:rPr>
          <w:rFonts w:ascii="Arial" w:hAnsi="Arial" w:cs="Arial"/>
          <w:iCs/>
          <w:lang w:val="en-GB"/>
        </w:rPr>
        <w:t>ExTR</w:t>
      </w:r>
      <w:proofErr w:type="spellEnd"/>
      <w:r w:rsidR="00D02A72" w:rsidRPr="0086562F">
        <w:rPr>
          <w:rFonts w:ascii="Arial" w:hAnsi="Arial" w:cs="Arial"/>
          <w:iCs/>
          <w:lang w:val="en-GB"/>
        </w:rPr>
        <w:t xml:space="preserve"> </w:t>
      </w:r>
      <w:r w:rsidR="00CC0ADA" w:rsidRPr="0086562F">
        <w:rPr>
          <w:rFonts w:ascii="Arial" w:hAnsi="Arial" w:cs="Arial"/>
          <w:iCs/>
          <w:lang w:val="en-GB"/>
        </w:rPr>
        <w:t>package, including all supporting IECEx Test Reports, Addendums, National Differences and Schedule Drawings</w:t>
      </w:r>
      <w:r w:rsidR="00D02A72" w:rsidRPr="0086562F">
        <w:rPr>
          <w:rFonts w:ascii="Arial" w:hAnsi="Arial" w:cs="Arial"/>
          <w:iCs/>
          <w:lang w:val="en-GB"/>
        </w:rPr>
        <w:t>.</w:t>
      </w:r>
      <w:r w:rsidR="00CC0ADA" w:rsidRPr="0086562F">
        <w:rPr>
          <w:rFonts w:ascii="Arial" w:hAnsi="Arial" w:cs="Arial"/>
          <w:iCs/>
          <w:lang w:val="en-GB"/>
        </w:rPr>
        <w:t xml:space="preserve">  However, there are also </w:t>
      </w:r>
      <w:r w:rsidR="003F223E">
        <w:rPr>
          <w:rFonts w:ascii="Arial" w:hAnsi="Arial" w:cs="Arial"/>
          <w:iCs/>
          <w:lang w:val="en-GB"/>
        </w:rPr>
        <w:t>R</w:t>
      </w:r>
      <w:r w:rsidR="0076728E">
        <w:rPr>
          <w:rFonts w:ascii="Arial" w:hAnsi="Arial" w:cs="Arial"/>
          <w:iCs/>
          <w:lang w:val="en-GB"/>
        </w:rPr>
        <w:t>elated</w:t>
      </w:r>
      <w:r w:rsidR="00BA78D8" w:rsidRPr="0086562F">
        <w:rPr>
          <w:rFonts w:ascii="Arial" w:hAnsi="Arial" w:cs="Arial"/>
          <w:iCs/>
          <w:lang w:val="en-GB"/>
        </w:rPr>
        <w:t xml:space="preserve"> </w:t>
      </w:r>
      <w:r w:rsidR="003F223E">
        <w:rPr>
          <w:rFonts w:ascii="Arial" w:hAnsi="Arial" w:cs="Arial"/>
          <w:iCs/>
          <w:lang w:val="en-GB"/>
        </w:rPr>
        <w:t>D</w:t>
      </w:r>
      <w:r w:rsidR="00BA78D8" w:rsidRPr="0086562F">
        <w:rPr>
          <w:rFonts w:ascii="Arial" w:hAnsi="Arial" w:cs="Arial"/>
          <w:iCs/>
          <w:lang w:val="en-GB"/>
        </w:rPr>
        <w:t xml:space="preserve">rawings that may be associated with a product that are not part of the </w:t>
      </w:r>
      <w:proofErr w:type="spellStart"/>
      <w:r w:rsidR="00BA78D8" w:rsidRPr="0086562F">
        <w:rPr>
          <w:rFonts w:ascii="Arial" w:hAnsi="Arial" w:cs="Arial"/>
          <w:iCs/>
          <w:lang w:val="en-GB"/>
        </w:rPr>
        <w:t>ExTR</w:t>
      </w:r>
      <w:proofErr w:type="spellEnd"/>
      <w:r w:rsidR="00BA78D8" w:rsidRPr="0086562F">
        <w:rPr>
          <w:rFonts w:ascii="Arial" w:hAnsi="Arial" w:cs="Arial"/>
          <w:iCs/>
          <w:lang w:val="en-GB"/>
        </w:rPr>
        <w:t xml:space="preserve"> package.  </w:t>
      </w:r>
    </w:p>
    <w:p w14:paraId="7FB49C75" w14:textId="77777777" w:rsidR="00940DFF" w:rsidRPr="003F223E" w:rsidRDefault="00940DFF" w:rsidP="003F223E">
      <w:pPr>
        <w:spacing w:before="120"/>
        <w:ind w:left="360"/>
        <w:rPr>
          <w:rFonts w:ascii="Arial" w:hAnsi="Arial" w:cs="Arial"/>
          <w:iCs/>
          <w:lang w:val="en-GB"/>
        </w:rPr>
      </w:pPr>
      <w:r w:rsidRPr="003F223E">
        <w:rPr>
          <w:rFonts w:ascii="Arial" w:hAnsi="Arial" w:cs="Arial"/>
          <w:b/>
          <w:bCs/>
          <w:iCs/>
          <w:lang w:val="en-GB"/>
        </w:rPr>
        <w:t>Q</w:t>
      </w:r>
      <w:r w:rsidRPr="003F223E">
        <w:rPr>
          <w:rFonts w:ascii="Arial" w:hAnsi="Arial" w:cs="Arial"/>
          <w:iCs/>
          <w:lang w:val="en-GB"/>
        </w:rPr>
        <w:t xml:space="preserve">: </w:t>
      </w:r>
      <w:r w:rsidR="00BA78D8" w:rsidRPr="003F223E">
        <w:rPr>
          <w:rFonts w:ascii="Arial" w:hAnsi="Arial" w:cs="Arial"/>
          <w:iCs/>
          <w:lang w:val="en-GB"/>
        </w:rPr>
        <w:t xml:space="preserve">Can a Receiving ExCB request all </w:t>
      </w:r>
      <w:r w:rsidR="003F223E">
        <w:rPr>
          <w:rFonts w:ascii="Arial" w:hAnsi="Arial" w:cs="Arial"/>
          <w:iCs/>
          <w:lang w:val="en-GB"/>
        </w:rPr>
        <w:t>R</w:t>
      </w:r>
      <w:r w:rsidR="00BA78D8" w:rsidRPr="003F223E">
        <w:rPr>
          <w:rFonts w:ascii="Arial" w:hAnsi="Arial" w:cs="Arial"/>
          <w:iCs/>
          <w:lang w:val="en-GB"/>
        </w:rPr>
        <w:t>e</w:t>
      </w:r>
      <w:r w:rsidR="0076728E" w:rsidRPr="003F223E">
        <w:rPr>
          <w:rFonts w:ascii="Arial" w:hAnsi="Arial" w:cs="Arial"/>
          <w:iCs/>
          <w:lang w:val="en-GB"/>
        </w:rPr>
        <w:t xml:space="preserve">lated </w:t>
      </w:r>
      <w:r w:rsidR="003F223E">
        <w:rPr>
          <w:rFonts w:ascii="Arial" w:hAnsi="Arial" w:cs="Arial"/>
          <w:iCs/>
          <w:lang w:val="en-GB"/>
        </w:rPr>
        <w:t>D</w:t>
      </w:r>
      <w:r w:rsidR="00BA78D8" w:rsidRPr="003F223E">
        <w:rPr>
          <w:rFonts w:ascii="Arial" w:hAnsi="Arial" w:cs="Arial"/>
          <w:iCs/>
          <w:lang w:val="en-GB"/>
        </w:rPr>
        <w:t xml:space="preserve">rawings, or only specific ones related to a specific audit issue that may be under question?  </w:t>
      </w:r>
    </w:p>
    <w:p w14:paraId="4EE33CA6" w14:textId="77777777" w:rsidR="00940DFF" w:rsidRPr="003F223E" w:rsidRDefault="00940DFF" w:rsidP="003F223E">
      <w:pPr>
        <w:spacing w:after="120"/>
        <w:ind w:left="360"/>
        <w:rPr>
          <w:rFonts w:ascii="Arial" w:hAnsi="Arial" w:cs="Arial"/>
          <w:iCs/>
          <w:lang w:val="en-GB"/>
        </w:rPr>
      </w:pPr>
      <w:r w:rsidRPr="003F223E">
        <w:rPr>
          <w:rFonts w:ascii="Arial" w:hAnsi="Arial" w:cs="Arial"/>
          <w:b/>
          <w:bCs/>
          <w:iCs/>
          <w:lang w:val="en-GB"/>
        </w:rPr>
        <w:t>A</w:t>
      </w:r>
      <w:r w:rsidRPr="003F223E">
        <w:rPr>
          <w:rFonts w:ascii="Arial" w:hAnsi="Arial" w:cs="Arial"/>
          <w:iCs/>
          <w:lang w:val="en-GB"/>
        </w:rPr>
        <w:t xml:space="preserve">: A Receiving ExCB can only request specific </w:t>
      </w:r>
      <w:r w:rsidR="003F223E">
        <w:rPr>
          <w:rFonts w:ascii="Arial" w:hAnsi="Arial" w:cs="Arial"/>
          <w:iCs/>
          <w:lang w:val="en-GB"/>
        </w:rPr>
        <w:t>R</w:t>
      </w:r>
      <w:r w:rsidRPr="003F223E">
        <w:rPr>
          <w:rFonts w:ascii="Arial" w:hAnsi="Arial" w:cs="Arial"/>
          <w:iCs/>
          <w:lang w:val="en-GB"/>
        </w:rPr>
        <w:t xml:space="preserve">elated </w:t>
      </w:r>
      <w:r w:rsidR="003F223E">
        <w:rPr>
          <w:rFonts w:ascii="Arial" w:hAnsi="Arial" w:cs="Arial"/>
          <w:iCs/>
          <w:lang w:val="en-GB"/>
        </w:rPr>
        <w:t>D</w:t>
      </w:r>
      <w:r w:rsidRPr="003F223E">
        <w:rPr>
          <w:rFonts w:ascii="Arial" w:hAnsi="Arial" w:cs="Arial"/>
          <w:iCs/>
          <w:lang w:val="en-GB"/>
        </w:rPr>
        <w:t xml:space="preserve">rawings that relate to a specific audit issue that may be under question.  </w:t>
      </w:r>
    </w:p>
    <w:p w14:paraId="7E9A87CA" w14:textId="77777777" w:rsidR="00940DFF" w:rsidRPr="00940DFF" w:rsidRDefault="00197A73" w:rsidP="00197A73">
      <w:pPr>
        <w:spacing w:after="240"/>
        <w:ind w:left="360"/>
        <w:rPr>
          <w:rFonts w:ascii="Arial" w:hAnsi="Arial" w:cs="Arial"/>
          <w:iCs/>
          <w:lang w:val="en-GB"/>
        </w:rPr>
      </w:pPr>
      <w:r>
        <w:rPr>
          <w:rFonts w:ascii="Arial" w:hAnsi="Arial" w:cs="Arial"/>
          <w:iCs/>
          <w:lang w:val="en-GB"/>
        </w:rPr>
        <w:t xml:space="preserve">Upon </w:t>
      </w:r>
      <w:proofErr w:type="spellStart"/>
      <w:r>
        <w:rPr>
          <w:rFonts w:ascii="Arial" w:hAnsi="Arial" w:cs="Arial"/>
          <w:iCs/>
          <w:lang w:val="en-GB"/>
        </w:rPr>
        <w:t>ExTAG</w:t>
      </w:r>
      <w:proofErr w:type="spellEnd"/>
      <w:r>
        <w:rPr>
          <w:rFonts w:ascii="Arial" w:hAnsi="Arial" w:cs="Arial"/>
          <w:iCs/>
          <w:lang w:val="en-GB"/>
        </w:rPr>
        <w:t xml:space="preserve"> concurrence, t</w:t>
      </w:r>
      <w:r w:rsidR="00940DFF" w:rsidRPr="00940DFF">
        <w:rPr>
          <w:rFonts w:ascii="Arial" w:hAnsi="Arial" w:cs="Arial"/>
          <w:iCs/>
          <w:lang w:val="en-GB"/>
        </w:rPr>
        <w:t xml:space="preserve">his </w:t>
      </w:r>
      <w:r w:rsidR="003F223E">
        <w:rPr>
          <w:rFonts w:ascii="Arial" w:hAnsi="Arial" w:cs="Arial"/>
          <w:iCs/>
          <w:lang w:val="en-GB"/>
        </w:rPr>
        <w:t xml:space="preserve">answer </w:t>
      </w:r>
      <w:r w:rsidR="00940DFF" w:rsidRPr="00940DFF">
        <w:rPr>
          <w:rFonts w:ascii="Arial" w:hAnsi="Arial" w:cs="Arial"/>
          <w:iCs/>
          <w:lang w:val="en-GB"/>
        </w:rPr>
        <w:t>will be documented in OD 010-2.</w:t>
      </w:r>
    </w:p>
    <w:p w14:paraId="09584846" w14:textId="77777777" w:rsidR="003F223E" w:rsidRPr="003F223E" w:rsidRDefault="003F223E" w:rsidP="003F223E">
      <w:pPr>
        <w:spacing w:after="240"/>
        <w:rPr>
          <w:rFonts w:ascii="Arial" w:hAnsi="Arial" w:cs="Arial"/>
          <w:i/>
        </w:rPr>
      </w:pPr>
      <w:r w:rsidRPr="003F223E">
        <w:rPr>
          <w:rFonts w:ascii="Arial" w:hAnsi="Arial" w:cs="Arial"/>
          <w:i/>
          <w:u w:val="single"/>
          <w:lang w:val="en-GB"/>
        </w:rPr>
        <w:t>Note</w:t>
      </w:r>
      <w:r w:rsidRPr="003F223E">
        <w:rPr>
          <w:rFonts w:ascii="Arial" w:hAnsi="Arial" w:cs="Arial"/>
          <w:i/>
          <w:lang w:val="en-GB"/>
        </w:rPr>
        <w:t xml:space="preserve">: Decision 2019/19 of </w:t>
      </w:r>
      <w:proofErr w:type="spellStart"/>
      <w:r w:rsidRPr="003F223E">
        <w:rPr>
          <w:rFonts w:ascii="Arial" w:hAnsi="Arial" w:cs="Arial"/>
          <w:i/>
          <w:lang w:val="en-GB"/>
        </w:rPr>
        <w:t>ExTAG</w:t>
      </w:r>
      <w:proofErr w:type="spellEnd"/>
      <w:r w:rsidRPr="003F223E">
        <w:rPr>
          <w:rFonts w:ascii="Arial" w:hAnsi="Arial" w:cs="Arial"/>
          <w:i/>
          <w:lang w:val="en-GB"/>
        </w:rPr>
        <w:t xml:space="preserve">/597/DL was implemented. See </w:t>
      </w:r>
      <w:proofErr w:type="spellStart"/>
      <w:r w:rsidRPr="003F223E">
        <w:rPr>
          <w:rFonts w:ascii="Arial" w:hAnsi="Arial" w:cs="Arial"/>
          <w:i/>
          <w:lang w:val="en-GB"/>
        </w:rPr>
        <w:t>ExTR</w:t>
      </w:r>
      <w:proofErr w:type="spellEnd"/>
      <w:r w:rsidRPr="003F223E">
        <w:rPr>
          <w:rFonts w:ascii="Arial" w:hAnsi="Arial" w:cs="Arial"/>
          <w:i/>
          <w:lang w:val="en-GB"/>
        </w:rPr>
        <w:t xml:space="preserve"> Cover Sheet, Edition 8.</w:t>
      </w:r>
    </w:p>
    <w:p w14:paraId="1AD94A86" w14:textId="77777777" w:rsidR="00AF278E" w:rsidRPr="0086562F" w:rsidRDefault="008B6FA9" w:rsidP="00E81A9C">
      <w:pPr>
        <w:spacing w:before="240" w:after="120"/>
        <w:jc w:val="center"/>
        <w:rPr>
          <w:rFonts w:ascii="Arial" w:hAnsi="Arial" w:cs="Arial"/>
        </w:rPr>
      </w:pPr>
      <w:r w:rsidRPr="0086562F">
        <w:rPr>
          <w:rFonts w:ascii="Arial" w:hAnsi="Arial" w:cs="Arial"/>
          <w:lang w:val="en-GB"/>
        </w:rPr>
        <w:t>*****End of</w:t>
      </w:r>
      <w:r w:rsidR="00B9760F" w:rsidRPr="0086562F">
        <w:rPr>
          <w:rFonts w:ascii="Arial" w:hAnsi="Arial" w:cs="Arial"/>
          <w:lang w:val="en-GB"/>
        </w:rPr>
        <w:t xml:space="preserve"> </w:t>
      </w:r>
      <w:r w:rsidRPr="0086562F">
        <w:rPr>
          <w:rFonts w:ascii="Arial" w:hAnsi="Arial" w:cs="Arial"/>
          <w:lang w:val="en-GB"/>
        </w:rPr>
        <w:t>Report*****</w:t>
      </w:r>
    </w:p>
    <w:sectPr w:rsidR="00AF278E" w:rsidRPr="0086562F" w:rsidSect="00222A6E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52" w:right="1152" w:bottom="1152" w:left="1152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725F33" w14:textId="77777777" w:rsidR="00F87A98" w:rsidRDefault="00F87A98">
      <w:r>
        <w:separator/>
      </w:r>
    </w:p>
  </w:endnote>
  <w:endnote w:type="continuationSeparator" w:id="0">
    <w:p w14:paraId="1A2722C1" w14:textId="77777777" w:rsidR="00F87A98" w:rsidRDefault="00F87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9F0CC4" w14:textId="77777777" w:rsidR="006D50FC" w:rsidRDefault="006D50FC">
    <w:pPr>
      <w:pStyle w:val="Footer"/>
      <w:rPr>
        <w:rFonts w:ascii="Arial" w:hAnsi="Arial" w:cs="Arial"/>
        <w:sz w:val="22"/>
      </w:rPr>
    </w:pPr>
    <w:r>
      <w:rPr>
        <w:rFonts w:ascii="Arial" w:hAnsi="Arial" w:cs="Arial"/>
        <w:sz w:val="22"/>
      </w:rPr>
      <w:tab/>
    </w:r>
    <w:r>
      <w:rPr>
        <w:rFonts w:ascii="Arial" w:hAnsi="Arial" w:cs="Arial"/>
        <w:sz w:val="22"/>
      </w:rPr>
      <w:tab/>
    </w:r>
    <w:r>
      <w:rPr>
        <w:rFonts w:ascii="Arial" w:hAnsi="Arial" w:cs="Arial"/>
        <w:sz w:val="22"/>
      </w:rPr>
      <w:t xml:space="preserve">Page </w:t>
    </w:r>
    <w:r>
      <w:rPr>
        <w:rFonts w:ascii="Arial" w:hAnsi="Arial" w:cs="Arial"/>
        <w:sz w:val="22"/>
      </w:rPr>
      <w:fldChar w:fldCharType="begin"/>
    </w:r>
    <w:r>
      <w:rPr>
        <w:rFonts w:ascii="Arial" w:hAnsi="Arial" w:cs="Arial"/>
        <w:sz w:val="22"/>
      </w:rPr>
      <w:instrText xml:space="preserve"> PAGE </w:instrText>
    </w:r>
    <w:r>
      <w:rPr>
        <w:rFonts w:ascii="Arial" w:hAnsi="Arial" w:cs="Arial"/>
        <w:sz w:val="22"/>
      </w:rPr>
      <w:fldChar w:fldCharType="separate"/>
    </w:r>
    <w:r w:rsidR="00BA491C">
      <w:rPr>
        <w:rFonts w:ascii="Arial" w:hAnsi="Arial" w:cs="Arial"/>
        <w:noProof/>
        <w:sz w:val="22"/>
      </w:rPr>
      <w:t>1</w:t>
    </w:r>
    <w:r>
      <w:rPr>
        <w:rFonts w:ascii="Arial" w:hAnsi="Arial" w:cs="Arial"/>
        <w:sz w:val="22"/>
      </w:rPr>
      <w:fldChar w:fldCharType="end"/>
    </w:r>
    <w:r>
      <w:rPr>
        <w:rFonts w:ascii="Arial" w:hAnsi="Arial" w:cs="Arial"/>
        <w:sz w:val="22"/>
      </w:rPr>
      <w:t xml:space="preserve"> of </w:t>
    </w:r>
    <w:r>
      <w:rPr>
        <w:rFonts w:ascii="Arial" w:hAnsi="Arial" w:cs="Arial"/>
        <w:sz w:val="22"/>
      </w:rPr>
      <w:fldChar w:fldCharType="begin"/>
    </w:r>
    <w:r>
      <w:rPr>
        <w:rFonts w:ascii="Arial" w:hAnsi="Arial" w:cs="Arial"/>
        <w:sz w:val="22"/>
      </w:rPr>
      <w:instrText xml:space="preserve"> NUMPAGES </w:instrText>
    </w:r>
    <w:r>
      <w:rPr>
        <w:rFonts w:ascii="Arial" w:hAnsi="Arial" w:cs="Arial"/>
        <w:sz w:val="22"/>
      </w:rPr>
      <w:fldChar w:fldCharType="separate"/>
    </w:r>
    <w:r w:rsidR="00BA491C">
      <w:rPr>
        <w:rFonts w:ascii="Arial" w:hAnsi="Arial" w:cs="Arial"/>
        <w:noProof/>
        <w:sz w:val="22"/>
      </w:rPr>
      <w:t>3</w:t>
    </w:r>
    <w:r>
      <w:rPr>
        <w:rFonts w:ascii="Arial" w:hAnsi="Arial" w:cs="Arial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00EEA8" w14:textId="77777777" w:rsidR="006D50FC" w:rsidRDefault="006D50FC">
    <w:pPr>
      <w:pStyle w:val="Footer"/>
      <w:rPr>
        <w:rFonts w:ascii="Arial" w:hAnsi="Arial" w:cs="Arial"/>
        <w:sz w:val="22"/>
      </w:rPr>
    </w:pPr>
    <w:r>
      <w:rPr>
        <w:rFonts w:ascii="Arial" w:hAnsi="Arial" w:cs="Arial"/>
        <w:sz w:val="22"/>
      </w:rPr>
      <w:tab/>
    </w:r>
    <w:r>
      <w:rPr>
        <w:rFonts w:ascii="Arial" w:hAnsi="Arial" w:cs="Arial"/>
        <w:sz w:val="22"/>
      </w:rPr>
      <w:tab/>
    </w:r>
    <w:r>
      <w:rPr>
        <w:rFonts w:ascii="Arial" w:hAnsi="Arial" w:cs="Arial"/>
        <w:sz w:val="22"/>
      </w:rPr>
      <w:t xml:space="preserve">Page </w:t>
    </w:r>
    <w:r>
      <w:rPr>
        <w:rFonts w:ascii="Arial" w:hAnsi="Arial" w:cs="Arial"/>
        <w:sz w:val="22"/>
      </w:rPr>
      <w:fldChar w:fldCharType="begin"/>
    </w:r>
    <w:r>
      <w:rPr>
        <w:rFonts w:ascii="Arial" w:hAnsi="Arial" w:cs="Arial"/>
        <w:sz w:val="22"/>
      </w:rPr>
      <w:instrText xml:space="preserve"> PAGE </w:instrText>
    </w:r>
    <w:r>
      <w:rPr>
        <w:rFonts w:ascii="Arial" w:hAnsi="Arial" w:cs="Arial"/>
        <w:sz w:val="22"/>
      </w:rPr>
      <w:fldChar w:fldCharType="separate"/>
    </w:r>
    <w:r>
      <w:rPr>
        <w:rFonts w:ascii="Arial" w:hAnsi="Arial" w:cs="Arial"/>
        <w:noProof/>
        <w:sz w:val="22"/>
      </w:rPr>
      <w:t>1</w:t>
    </w:r>
    <w:r>
      <w:rPr>
        <w:rFonts w:ascii="Arial" w:hAnsi="Arial" w:cs="Arial"/>
        <w:sz w:val="22"/>
      </w:rPr>
      <w:fldChar w:fldCharType="end"/>
    </w:r>
    <w:r>
      <w:rPr>
        <w:rFonts w:ascii="Arial" w:hAnsi="Arial" w:cs="Arial"/>
        <w:sz w:val="22"/>
      </w:rPr>
      <w:t xml:space="preserve"> of </w:t>
    </w:r>
    <w:r>
      <w:rPr>
        <w:rFonts w:ascii="Arial" w:hAnsi="Arial" w:cs="Arial"/>
        <w:sz w:val="22"/>
      </w:rPr>
      <w:fldChar w:fldCharType="begin"/>
    </w:r>
    <w:r>
      <w:rPr>
        <w:rFonts w:ascii="Arial" w:hAnsi="Arial" w:cs="Arial"/>
        <w:sz w:val="22"/>
      </w:rPr>
      <w:instrText xml:space="preserve"> NUMPAGES </w:instrText>
    </w:r>
    <w:r>
      <w:rPr>
        <w:rFonts w:ascii="Arial" w:hAnsi="Arial" w:cs="Arial"/>
        <w:sz w:val="22"/>
      </w:rPr>
      <w:fldChar w:fldCharType="separate"/>
    </w:r>
    <w:r w:rsidR="00304494">
      <w:rPr>
        <w:rFonts w:ascii="Arial" w:hAnsi="Arial" w:cs="Arial"/>
        <w:noProof/>
        <w:sz w:val="22"/>
      </w:rPr>
      <w:t>6</w:t>
    </w:r>
    <w:r>
      <w:rPr>
        <w:rFonts w:ascii="Arial" w:hAnsi="Arial" w:cs="Arial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DD1133" w14:textId="77777777" w:rsidR="00F87A98" w:rsidRDefault="00F87A98">
      <w:r>
        <w:separator/>
      </w:r>
    </w:p>
  </w:footnote>
  <w:footnote w:type="continuationSeparator" w:id="0">
    <w:p w14:paraId="5EDB75BF" w14:textId="77777777" w:rsidR="00F87A98" w:rsidRDefault="00F87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5BB1BA" w14:textId="77777777" w:rsidR="00BA491C" w:rsidRDefault="00BA491C" w:rsidP="00BA491C">
    <w:pPr>
      <w:rPr>
        <w:lang w:val="pt-BR"/>
      </w:rPr>
    </w:pPr>
    <w:r w:rsidRPr="00FB7849">
      <w:rPr>
        <w:noProof/>
        <w:lang w:eastAsia="en-AU"/>
      </w:rPr>
      <w:drawing>
        <wp:inline distT="0" distB="0" distL="0" distR="0" wp14:anchorId="6AB86829" wp14:editId="3F80E7ED">
          <wp:extent cx="1266825" cy="552450"/>
          <wp:effectExtent l="0" t="0" r="9525" b="0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BE11F3" w14:textId="77777777" w:rsidR="00BA491C" w:rsidRPr="00BA491C" w:rsidRDefault="00BA491C" w:rsidP="00BA491C">
    <w:pPr>
      <w:jc w:val="right"/>
      <w:rPr>
        <w:rFonts w:ascii="Arial" w:hAnsi="Arial" w:cs="Arial"/>
        <w:b/>
        <w:sz w:val="22"/>
        <w:szCs w:val="22"/>
      </w:rPr>
    </w:pPr>
    <w:proofErr w:type="spellStart"/>
    <w:r w:rsidRPr="00BA491C">
      <w:rPr>
        <w:rFonts w:ascii="Arial" w:hAnsi="Arial" w:cs="Arial"/>
        <w:b/>
        <w:sz w:val="22"/>
        <w:szCs w:val="22"/>
      </w:rPr>
      <w:t>ExTAG</w:t>
    </w:r>
    <w:proofErr w:type="spellEnd"/>
    <w:r w:rsidRPr="00BA491C">
      <w:rPr>
        <w:rFonts w:ascii="Arial" w:hAnsi="Arial" w:cs="Arial"/>
        <w:b/>
        <w:sz w:val="22"/>
        <w:szCs w:val="22"/>
      </w:rPr>
      <w:t>(2020Remote/WG01)03</w:t>
    </w:r>
  </w:p>
  <w:p w14:paraId="34C367FA" w14:textId="77777777" w:rsidR="006D50FC" w:rsidRPr="00A15C38" w:rsidRDefault="006D50FC" w:rsidP="006B28F8">
    <w:pPr>
      <w:pStyle w:val="Header"/>
      <w:jc w:val="right"/>
      <w:rPr>
        <w:sz w:val="22"/>
        <w:szCs w:val="22"/>
        <w:lang w:val="pt-BR"/>
      </w:rPr>
    </w:pPr>
    <w:r w:rsidRPr="00A15C38">
      <w:rPr>
        <w:rFonts w:ascii="Arial" w:hAnsi="Arial" w:cs="Arial"/>
        <w:b/>
        <w:sz w:val="22"/>
        <w:szCs w:val="22"/>
        <w:lang w:val="pt-BR"/>
      </w:rPr>
      <w:tab/>
    </w:r>
    <w:r w:rsidRPr="00A15C38">
      <w:rPr>
        <w:rFonts w:ascii="Arial" w:hAnsi="Arial" w:cs="Arial"/>
        <w:b/>
        <w:sz w:val="22"/>
        <w:szCs w:val="22"/>
        <w:lang w:val="pt-BR"/>
      </w:rPr>
      <w:tab/>
      <w:t xml:space="preserve">   </w:t>
    </w:r>
    <w:r w:rsidR="007C14E1" w:rsidRPr="00A15C38">
      <w:rPr>
        <w:rFonts w:ascii="Arial" w:hAnsi="Arial" w:cs="Arial"/>
        <w:b/>
        <w:sz w:val="22"/>
        <w:szCs w:val="22"/>
        <w:lang w:val="pt-BR"/>
      </w:rPr>
      <w:t>September</w:t>
    </w:r>
    <w:r w:rsidRPr="00A15C38">
      <w:rPr>
        <w:rFonts w:ascii="Arial" w:hAnsi="Arial" w:cs="Arial"/>
        <w:b/>
        <w:sz w:val="22"/>
        <w:szCs w:val="22"/>
        <w:lang w:val="pt-BR"/>
      </w:rPr>
      <w:t xml:space="preserve"> 20</w:t>
    </w:r>
    <w:r w:rsidR="00206263">
      <w:rPr>
        <w:rFonts w:ascii="Arial" w:hAnsi="Arial" w:cs="Arial"/>
        <w:b/>
        <w:sz w:val="22"/>
        <w:szCs w:val="22"/>
        <w:lang w:val="pt-BR"/>
      </w:rPr>
      <w:t>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801753" w14:textId="77777777" w:rsidR="006D50FC" w:rsidRPr="00C44C93" w:rsidRDefault="00BA491C" w:rsidP="005B102A">
    <w:pPr>
      <w:pStyle w:val="Heading3"/>
      <w:rPr>
        <w:rFonts w:cs="Arial"/>
        <w:b w:val="0"/>
        <w:sz w:val="22"/>
        <w:szCs w:val="22"/>
        <w:lang w:val="de-DE"/>
      </w:rPr>
    </w:pPr>
    <w:r>
      <w:rPr>
        <w:noProof/>
        <w:lang w:val="en-AU" w:eastAsia="en-AU"/>
      </w:rPr>
      <w:drawing>
        <wp:inline distT="0" distB="0" distL="0" distR="0" wp14:anchorId="4F4E52AD" wp14:editId="0AC6A00D">
          <wp:extent cx="1371600" cy="628650"/>
          <wp:effectExtent l="0" t="0" r="0" b="0"/>
          <wp:docPr id="2" name="Picture 2" descr="IECEx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ECEx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D50FC">
      <w:tab/>
    </w:r>
    <w:r w:rsidR="006D50FC">
      <w:tab/>
    </w:r>
    <w:r w:rsidR="006D50FC">
      <w:tab/>
    </w:r>
    <w:r w:rsidR="006D50FC">
      <w:tab/>
    </w:r>
    <w:r w:rsidR="006D50FC">
      <w:tab/>
    </w:r>
    <w:r w:rsidR="006D50FC">
      <w:tab/>
    </w:r>
    <w:r w:rsidR="006D50FC">
      <w:tab/>
    </w:r>
    <w:r w:rsidR="006D50FC">
      <w:tab/>
    </w:r>
    <w:r w:rsidR="006D50FC">
      <w:tab/>
      <w:t xml:space="preserve"> </w:t>
    </w:r>
  </w:p>
  <w:p w14:paraId="3D0B92EF" w14:textId="77777777" w:rsidR="006D50FC" w:rsidRPr="00C44C93" w:rsidRDefault="006D50FC" w:rsidP="00494922">
    <w:pPr>
      <w:jc w:val="right"/>
      <w:rPr>
        <w:rFonts w:ascii="Arial" w:hAnsi="Arial" w:cs="Arial"/>
        <w:b/>
        <w:sz w:val="22"/>
        <w:szCs w:val="22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74268"/>
    <w:multiLevelType w:val="hybridMultilevel"/>
    <w:tmpl w:val="5E8EEDE4"/>
    <w:lvl w:ilvl="0" w:tplc="0A56EA3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20294"/>
    <w:multiLevelType w:val="hybridMultilevel"/>
    <w:tmpl w:val="1B6E9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14954"/>
    <w:multiLevelType w:val="hybridMultilevel"/>
    <w:tmpl w:val="00ECAC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377EA2"/>
    <w:multiLevelType w:val="hybridMultilevel"/>
    <w:tmpl w:val="A288A8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0BF855BF"/>
    <w:multiLevelType w:val="hybridMultilevel"/>
    <w:tmpl w:val="EFA66CB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E148F1"/>
    <w:multiLevelType w:val="hybridMultilevel"/>
    <w:tmpl w:val="2A4878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101F29FB"/>
    <w:multiLevelType w:val="hybridMultilevel"/>
    <w:tmpl w:val="90C2E7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14E2E84"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E760F3"/>
    <w:multiLevelType w:val="hybridMultilevel"/>
    <w:tmpl w:val="0D12C8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4D4388"/>
    <w:multiLevelType w:val="hybridMultilevel"/>
    <w:tmpl w:val="FC422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55346"/>
    <w:multiLevelType w:val="hybridMultilevel"/>
    <w:tmpl w:val="E7DC99E4"/>
    <w:lvl w:ilvl="0" w:tplc="8CDC66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4834A1"/>
    <w:multiLevelType w:val="hybridMultilevel"/>
    <w:tmpl w:val="6D886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65801"/>
    <w:multiLevelType w:val="hybridMultilevel"/>
    <w:tmpl w:val="A5A2CF42"/>
    <w:lvl w:ilvl="0" w:tplc="B15206A8">
      <w:numFmt w:val="bullet"/>
      <w:lvlText w:val="-"/>
      <w:lvlJc w:val="left"/>
      <w:pPr>
        <w:ind w:left="720" w:hanging="360"/>
      </w:pPr>
      <w:rPr>
        <w:rFonts w:ascii="Arial" w:eastAsia="DengXi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0B0894"/>
    <w:multiLevelType w:val="hybridMultilevel"/>
    <w:tmpl w:val="97C006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071B54"/>
    <w:multiLevelType w:val="hybridMultilevel"/>
    <w:tmpl w:val="2662F95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112ADF"/>
    <w:multiLevelType w:val="hybridMultilevel"/>
    <w:tmpl w:val="E8F81F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14E2E84"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8F3D7A"/>
    <w:multiLevelType w:val="hybridMultilevel"/>
    <w:tmpl w:val="685C22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1B0C3F"/>
    <w:multiLevelType w:val="hybridMultilevel"/>
    <w:tmpl w:val="1EFE64BC"/>
    <w:lvl w:ilvl="0" w:tplc="8CDC66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077E67"/>
    <w:multiLevelType w:val="hybridMultilevel"/>
    <w:tmpl w:val="221E6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1C2486"/>
    <w:multiLevelType w:val="hybridMultilevel"/>
    <w:tmpl w:val="A9F825CC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9" w15:restartNumberingAfterBreak="0">
    <w:nsid w:val="483679E4"/>
    <w:multiLevelType w:val="hybridMultilevel"/>
    <w:tmpl w:val="9FF2B12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43B65"/>
    <w:multiLevelType w:val="hybridMultilevel"/>
    <w:tmpl w:val="A4C491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F954CC6"/>
    <w:multiLevelType w:val="hybridMultilevel"/>
    <w:tmpl w:val="838031C6"/>
    <w:lvl w:ilvl="0" w:tplc="E0A6D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821710"/>
    <w:multiLevelType w:val="hybridMultilevel"/>
    <w:tmpl w:val="043A75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6727290"/>
    <w:multiLevelType w:val="hybridMultilevel"/>
    <w:tmpl w:val="9AA63C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98C7F88"/>
    <w:multiLevelType w:val="hybridMultilevel"/>
    <w:tmpl w:val="97648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350102"/>
    <w:multiLevelType w:val="hybridMultilevel"/>
    <w:tmpl w:val="CD2A54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D6A4709"/>
    <w:multiLevelType w:val="hybridMultilevel"/>
    <w:tmpl w:val="F06E34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725024E5"/>
    <w:multiLevelType w:val="hybridMultilevel"/>
    <w:tmpl w:val="EB32964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26C78D4"/>
    <w:multiLevelType w:val="hybridMultilevel"/>
    <w:tmpl w:val="3D925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8A3463"/>
    <w:multiLevelType w:val="hybridMultilevel"/>
    <w:tmpl w:val="CFA217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25"/>
  </w:num>
  <w:num w:numId="4">
    <w:abstractNumId w:val="5"/>
  </w:num>
  <w:num w:numId="5">
    <w:abstractNumId w:val="26"/>
  </w:num>
  <w:num w:numId="6">
    <w:abstractNumId w:val="3"/>
  </w:num>
  <w:num w:numId="7">
    <w:abstractNumId w:val="29"/>
  </w:num>
  <w:num w:numId="8">
    <w:abstractNumId w:val="15"/>
  </w:num>
  <w:num w:numId="9">
    <w:abstractNumId w:val="22"/>
  </w:num>
  <w:num w:numId="10">
    <w:abstractNumId w:val="6"/>
  </w:num>
  <w:num w:numId="11">
    <w:abstractNumId w:val="14"/>
  </w:num>
  <w:num w:numId="12">
    <w:abstractNumId w:val="8"/>
  </w:num>
  <w:num w:numId="13">
    <w:abstractNumId w:val="21"/>
  </w:num>
  <w:num w:numId="14">
    <w:abstractNumId w:val="9"/>
  </w:num>
  <w:num w:numId="15">
    <w:abstractNumId w:val="27"/>
  </w:num>
  <w:num w:numId="16">
    <w:abstractNumId w:val="16"/>
  </w:num>
  <w:num w:numId="17">
    <w:abstractNumId w:val="1"/>
  </w:num>
  <w:num w:numId="18">
    <w:abstractNumId w:val="18"/>
  </w:num>
  <w:num w:numId="19">
    <w:abstractNumId w:val="4"/>
  </w:num>
  <w:num w:numId="20">
    <w:abstractNumId w:val="23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23"/>
  </w:num>
  <w:num w:numId="24">
    <w:abstractNumId w:val="19"/>
  </w:num>
  <w:num w:numId="25">
    <w:abstractNumId w:val="10"/>
  </w:num>
  <w:num w:numId="26">
    <w:abstractNumId w:val="2"/>
  </w:num>
  <w:num w:numId="27">
    <w:abstractNumId w:val="28"/>
  </w:num>
  <w:num w:numId="28">
    <w:abstractNumId w:val="11"/>
  </w:num>
  <w:num w:numId="29">
    <w:abstractNumId w:val="0"/>
  </w:num>
  <w:num w:numId="30">
    <w:abstractNumId w:val="7"/>
  </w:num>
  <w:num w:numId="31">
    <w:abstractNumId w:val="2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23A"/>
    <w:rsid w:val="00017729"/>
    <w:rsid w:val="000322A6"/>
    <w:rsid w:val="000335AA"/>
    <w:rsid w:val="00050227"/>
    <w:rsid w:val="00052C07"/>
    <w:rsid w:val="000872BD"/>
    <w:rsid w:val="000B27C6"/>
    <w:rsid w:val="000E205C"/>
    <w:rsid w:val="000F3849"/>
    <w:rsid w:val="001028CD"/>
    <w:rsid w:val="001145E1"/>
    <w:rsid w:val="00150E9F"/>
    <w:rsid w:val="001528A1"/>
    <w:rsid w:val="00152C56"/>
    <w:rsid w:val="0015345F"/>
    <w:rsid w:val="001702BD"/>
    <w:rsid w:val="00197A73"/>
    <w:rsid w:val="001B09F5"/>
    <w:rsid w:val="001C4967"/>
    <w:rsid w:val="001C6C6E"/>
    <w:rsid w:val="001D6203"/>
    <w:rsid w:val="00206263"/>
    <w:rsid w:val="00214901"/>
    <w:rsid w:val="00216254"/>
    <w:rsid w:val="00222A6E"/>
    <w:rsid w:val="00240B8F"/>
    <w:rsid w:val="00261A1F"/>
    <w:rsid w:val="0026210B"/>
    <w:rsid w:val="002625AD"/>
    <w:rsid w:val="00263B05"/>
    <w:rsid w:val="002801F6"/>
    <w:rsid w:val="002957FE"/>
    <w:rsid w:val="00297EC6"/>
    <w:rsid w:val="002A00BD"/>
    <w:rsid w:val="002A3F33"/>
    <w:rsid w:val="002E3A1A"/>
    <w:rsid w:val="002F00CB"/>
    <w:rsid w:val="003007C2"/>
    <w:rsid w:val="00304494"/>
    <w:rsid w:val="003821A5"/>
    <w:rsid w:val="00396375"/>
    <w:rsid w:val="003C49FF"/>
    <w:rsid w:val="003C6CFC"/>
    <w:rsid w:val="003F223E"/>
    <w:rsid w:val="00400D1D"/>
    <w:rsid w:val="00420091"/>
    <w:rsid w:val="0042132E"/>
    <w:rsid w:val="0043614C"/>
    <w:rsid w:val="00460B2D"/>
    <w:rsid w:val="00474E80"/>
    <w:rsid w:val="0048025C"/>
    <w:rsid w:val="00483266"/>
    <w:rsid w:val="004859B0"/>
    <w:rsid w:val="00494922"/>
    <w:rsid w:val="004A04F6"/>
    <w:rsid w:val="004A1BD8"/>
    <w:rsid w:val="004A5DC6"/>
    <w:rsid w:val="004B0642"/>
    <w:rsid w:val="004B7F0C"/>
    <w:rsid w:val="004C299F"/>
    <w:rsid w:val="004E4862"/>
    <w:rsid w:val="004E4EDF"/>
    <w:rsid w:val="004E7DD3"/>
    <w:rsid w:val="004F5044"/>
    <w:rsid w:val="004F76AF"/>
    <w:rsid w:val="0050303A"/>
    <w:rsid w:val="00505467"/>
    <w:rsid w:val="005074E4"/>
    <w:rsid w:val="00541801"/>
    <w:rsid w:val="00541C22"/>
    <w:rsid w:val="00576D76"/>
    <w:rsid w:val="00577A63"/>
    <w:rsid w:val="005842F7"/>
    <w:rsid w:val="00584BC5"/>
    <w:rsid w:val="00596745"/>
    <w:rsid w:val="005B102A"/>
    <w:rsid w:val="005B5BBE"/>
    <w:rsid w:val="005C045B"/>
    <w:rsid w:val="00603FE1"/>
    <w:rsid w:val="00634528"/>
    <w:rsid w:val="00643268"/>
    <w:rsid w:val="006444FC"/>
    <w:rsid w:val="0065752B"/>
    <w:rsid w:val="00680757"/>
    <w:rsid w:val="0068120A"/>
    <w:rsid w:val="006835E7"/>
    <w:rsid w:val="006B28F8"/>
    <w:rsid w:val="006B7892"/>
    <w:rsid w:val="006C04E7"/>
    <w:rsid w:val="006C0D10"/>
    <w:rsid w:val="006D50FC"/>
    <w:rsid w:val="00703EDD"/>
    <w:rsid w:val="00714754"/>
    <w:rsid w:val="0072709F"/>
    <w:rsid w:val="00734F14"/>
    <w:rsid w:val="00737C12"/>
    <w:rsid w:val="0075102D"/>
    <w:rsid w:val="00762E47"/>
    <w:rsid w:val="00763A66"/>
    <w:rsid w:val="0076728E"/>
    <w:rsid w:val="0077759D"/>
    <w:rsid w:val="00783BA5"/>
    <w:rsid w:val="0078420A"/>
    <w:rsid w:val="007B4B20"/>
    <w:rsid w:val="007C0996"/>
    <w:rsid w:val="007C14E1"/>
    <w:rsid w:val="0086562F"/>
    <w:rsid w:val="0088572C"/>
    <w:rsid w:val="008A0B7A"/>
    <w:rsid w:val="008B6FA9"/>
    <w:rsid w:val="008C02A6"/>
    <w:rsid w:val="008C4261"/>
    <w:rsid w:val="00926484"/>
    <w:rsid w:val="0093628A"/>
    <w:rsid w:val="00940DFF"/>
    <w:rsid w:val="0095793A"/>
    <w:rsid w:val="00977BB6"/>
    <w:rsid w:val="0098627F"/>
    <w:rsid w:val="00990399"/>
    <w:rsid w:val="009A0815"/>
    <w:rsid w:val="009A3116"/>
    <w:rsid w:val="009A5211"/>
    <w:rsid w:val="009A6CE9"/>
    <w:rsid w:val="009C12A7"/>
    <w:rsid w:val="009D1E75"/>
    <w:rsid w:val="009E00D4"/>
    <w:rsid w:val="009E0BEF"/>
    <w:rsid w:val="00A15C38"/>
    <w:rsid w:val="00A36538"/>
    <w:rsid w:val="00A56CF5"/>
    <w:rsid w:val="00A62956"/>
    <w:rsid w:val="00A96716"/>
    <w:rsid w:val="00AA3CEC"/>
    <w:rsid w:val="00AD0FDE"/>
    <w:rsid w:val="00AF278E"/>
    <w:rsid w:val="00B11F33"/>
    <w:rsid w:val="00B23C5C"/>
    <w:rsid w:val="00B51657"/>
    <w:rsid w:val="00B60866"/>
    <w:rsid w:val="00B9760F"/>
    <w:rsid w:val="00BA491C"/>
    <w:rsid w:val="00BA78D8"/>
    <w:rsid w:val="00BB0440"/>
    <w:rsid w:val="00BC5380"/>
    <w:rsid w:val="00BF66F7"/>
    <w:rsid w:val="00C03E25"/>
    <w:rsid w:val="00C1525B"/>
    <w:rsid w:val="00C23B2B"/>
    <w:rsid w:val="00C44C93"/>
    <w:rsid w:val="00C46BD3"/>
    <w:rsid w:val="00C830BD"/>
    <w:rsid w:val="00C95780"/>
    <w:rsid w:val="00CB1D6F"/>
    <w:rsid w:val="00CC0ADA"/>
    <w:rsid w:val="00CE3F0B"/>
    <w:rsid w:val="00D02A72"/>
    <w:rsid w:val="00D17378"/>
    <w:rsid w:val="00D20CB0"/>
    <w:rsid w:val="00D7032F"/>
    <w:rsid w:val="00D917A3"/>
    <w:rsid w:val="00DC4E16"/>
    <w:rsid w:val="00DE500E"/>
    <w:rsid w:val="00E057FE"/>
    <w:rsid w:val="00E22364"/>
    <w:rsid w:val="00E31DD2"/>
    <w:rsid w:val="00E340D1"/>
    <w:rsid w:val="00E63C61"/>
    <w:rsid w:val="00E81A9C"/>
    <w:rsid w:val="00F07264"/>
    <w:rsid w:val="00F123A5"/>
    <w:rsid w:val="00F2123B"/>
    <w:rsid w:val="00F21797"/>
    <w:rsid w:val="00F2193C"/>
    <w:rsid w:val="00F35926"/>
    <w:rsid w:val="00F53614"/>
    <w:rsid w:val="00F66A71"/>
    <w:rsid w:val="00F87A98"/>
    <w:rsid w:val="00FA219E"/>
    <w:rsid w:val="00FA623A"/>
    <w:rsid w:val="00FC6EF5"/>
    <w:rsid w:val="00FD172F"/>
    <w:rsid w:val="00FE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1640E2A6"/>
  <w15:chartTrackingRefBased/>
  <w15:docId w15:val="{72879EEA-0BE1-48E6-A010-26AE7EE02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lang w:val="en-GB" w:eastAsia="de-D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u w:val="single"/>
      <w:lang w:val="en-GB"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Arial" w:hAnsi="Arial"/>
      <w:b/>
      <w:sz w:val="20"/>
      <w:szCs w:val="20"/>
      <w:lang w:val="en-GB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lang w:val="en-US"/>
    </w:rPr>
  </w:style>
  <w:style w:type="paragraph" w:styleId="Heading5">
    <w:name w:val="heading 5"/>
    <w:basedOn w:val="Normal"/>
    <w:next w:val="Normal"/>
    <w:qFormat/>
    <w:pPr>
      <w:keepNext/>
      <w:ind w:left="360"/>
      <w:outlineLvl w:val="4"/>
    </w:pPr>
    <w:rPr>
      <w:rFonts w:ascii="Arial" w:hAnsi="Arial" w:cs="Arial"/>
      <w:b/>
      <w:bCs/>
      <w:color w:val="000000"/>
      <w:sz w:val="22"/>
      <w:lang w:val="en-US"/>
    </w:rPr>
  </w:style>
  <w:style w:type="paragraph" w:styleId="Heading6">
    <w:name w:val="heading 6"/>
    <w:basedOn w:val="Normal"/>
    <w:next w:val="Normal"/>
    <w:qFormat/>
    <w:pPr>
      <w:keepNext/>
      <w:ind w:left="360"/>
      <w:outlineLvl w:val="5"/>
    </w:pPr>
    <w:rPr>
      <w:rFonts w:ascii="Arial" w:hAnsi="Arial" w:cs="Arial"/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i/>
      <w:iCs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 w:cs="Arial"/>
      <w:b/>
      <w:bCs/>
      <w:color w:val="000000"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lang w:val="en-GB" w:eastAsia="de-DE"/>
    </w:rPr>
  </w:style>
  <w:style w:type="paragraph" w:styleId="BodyText2">
    <w:name w:val="Body Text 2"/>
    <w:basedOn w:val="Normal"/>
    <w:rPr>
      <w:sz w:val="20"/>
      <w:lang w:val="en-GB" w:eastAsia="de-D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de-DE" w:eastAsia="de-DE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  <w:rPr>
      <w:lang w:val="de-DE" w:eastAsia="de-DE"/>
    </w:rPr>
  </w:style>
  <w:style w:type="paragraph" w:styleId="BodyText3">
    <w:name w:val="Body Text 3"/>
    <w:basedOn w:val="Normal"/>
    <w:rPr>
      <w:b/>
      <w:lang w:val="en-GB" w:eastAsia="de-DE"/>
    </w:rPr>
  </w:style>
  <w:style w:type="paragraph" w:customStyle="1" w:styleId="NAbsatz">
    <w:name w:val="N Absatz"/>
    <w:pPr>
      <w:tabs>
        <w:tab w:val="left" w:pos="1134"/>
      </w:tabs>
      <w:spacing w:after="240"/>
    </w:pPr>
    <w:rPr>
      <w:rFonts w:ascii="Helvetica" w:hAnsi="Helvetica"/>
      <w:sz w:val="22"/>
      <w:lang w:val="de-DE" w:eastAsia="en-US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customStyle="1" w:styleId="CSAGroup">
    <w:name w:val="CSA Group"/>
    <w:rPr>
      <w:rFonts w:ascii="Arial" w:hAnsi="Arial" w:cs="Arial"/>
      <w:color w:val="000080"/>
      <w:sz w:val="20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977BB6"/>
    <w:pPr>
      <w:spacing w:before="100" w:beforeAutospacing="1" w:after="100" w:afterAutospacing="1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017729"/>
    <w:pPr>
      <w:ind w:left="720"/>
    </w:pPr>
    <w:rPr>
      <w:rFonts w:ascii="Calibri" w:eastAsia="Calibri" w:hAnsi="Calibri"/>
      <w:sz w:val="22"/>
      <w:szCs w:val="22"/>
      <w:lang w:val="en-US"/>
    </w:rPr>
  </w:style>
  <w:style w:type="paragraph" w:customStyle="1" w:styleId="PARAGRAPH">
    <w:name w:val="PARAGRAPH"/>
    <w:rsid w:val="006C04E7"/>
    <w:pPr>
      <w:spacing w:before="100" w:after="200"/>
      <w:jc w:val="both"/>
    </w:pPr>
    <w:rPr>
      <w:rFonts w:ascii="Arial" w:hAnsi="Arial"/>
      <w:spacing w:val="8"/>
      <w:lang w:val="en-GB" w:eastAsia="en-US"/>
    </w:rPr>
  </w:style>
  <w:style w:type="paragraph" w:styleId="ListBullet">
    <w:name w:val="List Bullet"/>
    <w:basedOn w:val="Normal"/>
    <w:autoRedefine/>
    <w:rsid w:val="006C04E7"/>
    <w:pPr>
      <w:widowControl w:val="0"/>
      <w:tabs>
        <w:tab w:val="num" w:pos="360"/>
      </w:tabs>
      <w:ind w:left="360" w:hanging="360"/>
    </w:pPr>
    <w:rPr>
      <w:snapToGrid w:val="0"/>
      <w:sz w:val="20"/>
      <w:szCs w:val="20"/>
      <w:lang w:val="en-US"/>
    </w:rPr>
  </w:style>
  <w:style w:type="paragraph" w:styleId="ListBullet2">
    <w:name w:val="List Bullet 2"/>
    <w:basedOn w:val="Normal"/>
    <w:autoRedefine/>
    <w:rsid w:val="006C04E7"/>
    <w:pPr>
      <w:widowControl w:val="0"/>
      <w:tabs>
        <w:tab w:val="num" w:pos="720"/>
      </w:tabs>
      <w:ind w:left="720" w:hanging="360"/>
    </w:pPr>
    <w:rPr>
      <w:snapToGrid w:val="0"/>
      <w:sz w:val="20"/>
      <w:szCs w:val="20"/>
      <w:lang w:val="en-US"/>
    </w:rPr>
  </w:style>
  <w:style w:type="paragraph" w:styleId="ListBullet3">
    <w:name w:val="List Bullet 3"/>
    <w:basedOn w:val="Normal"/>
    <w:autoRedefine/>
    <w:rsid w:val="006C04E7"/>
    <w:pPr>
      <w:widowControl w:val="0"/>
      <w:tabs>
        <w:tab w:val="num" w:pos="1080"/>
      </w:tabs>
      <w:ind w:left="1080" w:hanging="360"/>
    </w:pPr>
    <w:rPr>
      <w:snapToGrid w:val="0"/>
      <w:sz w:val="20"/>
      <w:szCs w:val="20"/>
      <w:lang w:val="en-US"/>
    </w:rPr>
  </w:style>
  <w:style w:type="paragraph" w:styleId="ListBullet4">
    <w:name w:val="List Bullet 4"/>
    <w:basedOn w:val="Normal"/>
    <w:autoRedefine/>
    <w:rsid w:val="006C04E7"/>
    <w:pPr>
      <w:widowControl w:val="0"/>
      <w:tabs>
        <w:tab w:val="num" w:pos="1440"/>
      </w:tabs>
      <w:ind w:left="1440" w:hanging="360"/>
    </w:pPr>
    <w:rPr>
      <w:snapToGrid w:val="0"/>
      <w:sz w:val="20"/>
      <w:szCs w:val="20"/>
      <w:lang w:val="en-US"/>
    </w:rPr>
  </w:style>
  <w:style w:type="paragraph" w:styleId="ListBullet5">
    <w:name w:val="List Bullet 5"/>
    <w:basedOn w:val="Normal"/>
    <w:autoRedefine/>
    <w:rsid w:val="006C04E7"/>
    <w:pPr>
      <w:widowControl w:val="0"/>
      <w:tabs>
        <w:tab w:val="num" w:pos="1800"/>
      </w:tabs>
      <w:ind w:left="1800" w:hanging="360"/>
    </w:pPr>
    <w:rPr>
      <w:snapToGrid w:val="0"/>
      <w:sz w:val="20"/>
      <w:szCs w:val="20"/>
      <w:lang w:val="en-US"/>
    </w:rPr>
  </w:style>
  <w:style w:type="paragraph" w:styleId="ListNumber">
    <w:name w:val="List Number"/>
    <w:basedOn w:val="Normal"/>
    <w:rsid w:val="006C04E7"/>
    <w:pPr>
      <w:widowControl w:val="0"/>
      <w:tabs>
        <w:tab w:val="num" w:pos="360"/>
      </w:tabs>
      <w:ind w:left="360" w:hanging="360"/>
    </w:pPr>
    <w:rPr>
      <w:snapToGrid w:val="0"/>
      <w:sz w:val="20"/>
      <w:szCs w:val="20"/>
      <w:lang w:val="en-US"/>
    </w:rPr>
  </w:style>
  <w:style w:type="paragraph" w:styleId="ListNumber2">
    <w:name w:val="List Number 2"/>
    <w:basedOn w:val="Normal"/>
    <w:rsid w:val="006C04E7"/>
    <w:pPr>
      <w:widowControl w:val="0"/>
      <w:tabs>
        <w:tab w:val="num" w:pos="720"/>
      </w:tabs>
      <w:ind w:left="720" w:hanging="360"/>
    </w:pPr>
    <w:rPr>
      <w:snapToGrid w:val="0"/>
      <w:sz w:val="20"/>
      <w:szCs w:val="20"/>
      <w:lang w:val="en-US"/>
    </w:rPr>
  </w:style>
  <w:style w:type="paragraph" w:styleId="ListNumber3">
    <w:name w:val="List Number 3"/>
    <w:basedOn w:val="Normal"/>
    <w:rsid w:val="006C04E7"/>
    <w:pPr>
      <w:widowControl w:val="0"/>
      <w:tabs>
        <w:tab w:val="num" w:pos="1080"/>
      </w:tabs>
      <w:ind w:left="1080" w:hanging="360"/>
    </w:pPr>
    <w:rPr>
      <w:snapToGrid w:val="0"/>
      <w:sz w:val="20"/>
      <w:szCs w:val="20"/>
      <w:lang w:val="en-US"/>
    </w:rPr>
  </w:style>
  <w:style w:type="paragraph" w:styleId="ListNumber4">
    <w:name w:val="List Number 4"/>
    <w:basedOn w:val="Normal"/>
    <w:rsid w:val="006C04E7"/>
    <w:pPr>
      <w:widowControl w:val="0"/>
      <w:tabs>
        <w:tab w:val="num" w:pos="1440"/>
      </w:tabs>
      <w:ind w:left="1440" w:hanging="360"/>
    </w:pPr>
    <w:rPr>
      <w:snapToGrid w:val="0"/>
      <w:sz w:val="20"/>
      <w:szCs w:val="20"/>
      <w:lang w:val="en-US"/>
    </w:rPr>
  </w:style>
  <w:style w:type="paragraph" w:styleId="ListNumber5">
    <w:name w:val="List Number 5"/>
    <w:basedOn w:val="Normal"/>
    <w:rsid w:val="006C04E7"/>
    <w:pPr>
      <w:widowControl w:val="0"/>
      <w:tabs>
        <w:tab w:val="num" w:pos="1800"/>
      </w:tabs>
      <w:ind w:left="1800" w:hanging="360"/>
    </w:pPr>
    <w:rPr>
      <w:snapToGrid w:val="0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6C04E7"/>
    <w:pPr>
      <w:widowControl w:val="0"/>
      <w:ind w:left="170"/>
    </w:pPr>
    <w:rPr>
      <w:i/>
      <w:snapToGrid w:val="0"/>
      <w:sz w:val="18"/>
      <w:szCs w:val="20"/>
      <w:lang w:val="en-US"/>
    </w:rPr>
  </w:style>
  <w:style w:type="character" w:customStyle="1" w:styleId="BodyTextIndent2Char">
    <w:name w:val="Body Text Indent 2 Char"/>
    <w:link w:val="BodyTextIndent2"/>
    <w:rsid w:val="006C04E7"/>
    <w:rPr>
      <w:i/>
      <w:snapToGrid w:val="0"/>
      <w:sz w:val="18"/>
    </w:rPr>
  </w:style>
  <w:style w:type="paragraph" w:styleId="BodyTextIndent">
    <w:name w:val="Body Text Indent"/>
    <w:basedOn w:val="Normal"/>
    <w:link w:val="BodyTextIndentChar"/>
    <w:rsid w:val="006C04E7"/>
    <w:pPr>
      <w:widowControl w:val="0"/>
      <w:spacing w:after="58"/>
      <w:ind w:left="5"/>
      <w:jc w:val="center"/>
    </w:pPr>
    <w:rPr>
      <w:snapToGrid w:val="0"/>
      <w:sz w:val="16"/>
      <w:szCs w:val="20"/>
      <w:lang w:val="en-US"/>
    </w:rPr>
  </w:style>
  <w:style w:type="character" w:customStyle="1" w:styleId="BodyTextIndentChar">
    <w:name w:val="Body Text Indent Char"/>
    <w:link w:val="BodyTextIndent"/>
    <w:rsid w:val="006C04E7"/>
    <w:rPr>
      <w:snapToGrid w:val="0"/>
      <w:sz w:val="16"/>
    </w:rPr>
  </w:style>
  <w:style w:type="paragraph" w:customStyle="1" w:styleId="TABLE-cell">
    <w:name w:val="TABLE-cell"/>
    <w:basedOn w:val="Normal"/>
    <w:rsid w:val="006C04E7"/>
    <w:pPr>
      <w:spacing w:before="60" w:after="60"/>
    </w:pPr>
    <w:rPr>
      <w:rFonts w:ascii="Arial" w:hAnsi="Arial"/>
      <w:spacing w:val="8"/>
      <w:sz w:val="16"/>
      <w:szCs w:val="20"/>
      <w:lang w:val="en-GB"/>
    </w:rPr>
  </w:style>
  <w:style w:type="paragraph" w:customStyle="1" w:styleId="TABLE-col-heading">
    <w:name w:val="TABLE-col-heading"/>
    <w:basedOn w:val="PARAGRAPH"/>
    <w:rsid w:val="006C04E7"/>
    <w:pPr>
      <w:spacing w:before="60" w:after="60"/>
      <w:jc w:val="center"/>
    </w:pPr>
    <w:rPr>
      <w:b/>
      <w:sz w:val="16"/>
    </w:rPr>
  </w:style>
  <w:style w:type="paragraph" w:customStyle="1" w:styleId="TABFIGfootnote">
    <w:name w:val="TAB_FIG_footnote"/>
    <w:basedOn w:val="FootnoteText"/>
    <w:rsid w:val="006C04E7"/>
    <w:pPr>
      <w:tabs>
        <w:tab w:val="left" w:pos="284"/>
      </w:tabs>
      <w:spacing w:after="100"/>
      <w:ind w:left="284" w:hanging="284"/>
      <w:jc w:val="both"/>
    </w:pPr>
    <w:rPr>
      <w:rFonts w:ascii="Arial" w:hAnsi="Arial"/>
      <w:spacing w:val="8"/>
      <w:sz w:val="16"/>
    </w:rPr>
  </w:style>
  <w:style w:type="paragraph" w:styleId="FootnoteText">
    <w:name w:val="footnote text"/>
    <w:basedOn w:val="Normal"/>
    <w:link w:val="FootnoteTextChar"/>
    <w:semiHidden/>
    <w:rsid w:val="006C04E7"/>
    <w:rPr>
      <w:sz w:val="20"/>
      <w:szCs w:val="20"/>
      <w:lang w:val="en-GB"/>
    </w:rPr>
  </w:style>
  <w:style w:type="character" w:customStyle="1" w:styleId="FootnoteTextChar">
    <w:name w:val="Footnote Text Char"/>
    <w:link w:val="FootnoteText"/>
    <w:semiHidden/>
    <w:rsid w:val="006C04E7"/>
    <w:rPr>
      <w:lang w:val="en-GB"/>
    </w:rPr>
  </w:style>
  <w:style w:type="paragraph" w:styleId="TOC8">
    <w:name w:val="toc 8"/>
    <w:basedOn w:val="TOC1"/>
    <w:semiHidden/>
    <w:rsid w:val="006C04E7"/>
    <w:pPr>
      <w:tabs>
        <w:tab w:val="left" w:pos="395"/>
        <w:tab w:val="right" w:leader="dot" w:pos="9070"/>
      </w:tabs>
      <w:suppressAutoHyphens/>
      <w:spacing w:after="100"/>
      <w:ind w:left="720" w:right="680" w:hanging="720"/>
    </w:pPr>
    <w:rPr>
      <w:rFonts w:ascii="Arial" w:hAnsi="Arial"/>
      <w:spacing w:val="8"/>
    </w:rPr>
  </w:style>
  <w:style w:type="paragraph" w:styleId="TOC1">
    <w:name w:val="toc 1"/>
    <w:basedOn w:val="Normal"/>
    <w:next w:val="Normal"/>
    <w:autoRedefine/>
    <w:semiHidden/>
    <w:rsid w:val="006C04E7"/>
    <w:rPr>
      <w:sz w:val="20"/>
      <w:szCs w:val="20"/>
      <w:lang w:val="en-GB"/>
    </w:rPr>
  </w:style>
  <w:style w:type="character" w:styleId="CommentReference">
    <w:name w:val="annotation reference"/>
    <w:semiHidden/>
    <w:rsid w:val="006C04E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C04E7"/>
    <w:rPr>
      <w:sz w:val="20"/>
      <w:szCs w:val="20"/>
      <w:lang w:val="en-GB"/>
    </w:rPr>
  </w:style>
  <w:style w:type="character" w:customStyle="1" w:styleId="CommentTextChar">
    <w:name w:val="Comment Text Char"/>
    <w:link w:val="CommentText"/>
    <w:semiHidden/>
    <w:rsid w:val="006C04E7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C04E7"/>
    <w:rPr>
      <w:b/>
      <w:bCs/>
    </w:rPr>
  </w:style>
  <w:style w:type="character" w:customStyle="1" w:styleId="CommentSubjectChar">
    <w:name w:val="Comment Subject Char"/>
    <w:link w:val="CommentSubject"/>
    <w:semiHidden/>
    <w:rsid w:val="006C04E7"/>
    <w:rPr>
      <w:b/>
      <w:bCs/>
      <w:lang w:val="en-GB"/>
    </w:rPr>
  </w:style>
  <w:style w:type="paragraph" w:styleId="BalloonText">
    <w:name w:val="Balloon Text"/>
    <w:basedOn w:val="Normal"/>
    <w:link w:val="BalloonTextChar"/>
    <w:semiHidden/>
    <w:rsid w:val="006C04E7"/>
    <w:rPr>
      <w:rFonts w:ascii="Tahoma" w:hAnsi="Tahoma" w:cs="Tahoma"/>
      <w:sz w:val="16"/>
      <w:szCs w:val="16"/>
      <w:lang w:val="en-GB"/>
    </w:rPr>
  </w:style>
  <w:style w:type="character" w:customStyle="1" w:styleId="BalloonTextChar">
    <w:name w:val="Balloon Text Char"/>
    <w:link w:val="BalloonText"/>
    <w:semiHidden/>
    <w:rsid w:val="006C04E7"/>
    <w:rPr>
      <w:rFonts w:ascii="Tahoma" w:hAnsi="Tahoma" w:cs="Tahoma"/>
      <w:sz w:val="16"/>
      <w:szCs w:val="16"/>
      <w:lang w:val="en-GB"/>
    </w:rPr>
  </w:style>
  <w:style w:type="paragraph" w:styleId="BlockText">
    <w:name w:val="Block Text"/>
    <w:basedOn w:val="Normal"/>
    <w:rsid w:val="006C04E7"/>
    <w:pPr>
      <w:ind w:left="43" w:right="43"/>
      <w:jc w:val="both"/>
    </w:pPr>
    <w:rPr>
      <w:i/>
      <w:spacing w:val="-2"/>
      <w:sz w:val="16"/>
      <w:szCs w:val="20"/>
      <w:lang w:val="en-GB"/>
    </w:rPr>
  </w:style>
  <w:style w:type="paragraph" w:customStyle="1" w:styleId="Sidfot">
    <w:name w:val="Sidfot"/>
    <w:basedOn w:val="Normal"/>
    <w:rsid w:val="006C04E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sv-SE"/>
    </w:rPr>
  </w:style>
  <w:style w:type="paragraph" w:customStyle="1" w:styleId="ExTRtext">
    <w:name w:val="ExTR text"/>
    <w:basedOn w:val="Normal"/>
    <w:rsid w:val="006C04E7"/>
    <w:pPr>
      <w:widowControl w:val="0"/>
      <w:tabs>
        <w:tab w:val="left" w:pos="1321"/>
      </w:tabs>
    </w:pPr>
    <w:rPr>
      <w:rFonts w:ascii="Arial" w:hAnsi="Arial" w:cs="Arial"/>
      <w:snapToGrid w:val="0"/>
      <w:color w:val="0000FF"/>
      <w:sz w:val="18"/>
      <w:szCs w:val="20"/>
      <w:lang w:val="en-GB"/>
    </w:rPr>
  </w:style>
  <w:style w:type="character" w:customStyle="1" w:styleId="Mention1">
    <w:name w:val="Mention1"/>
    <w:uiPriority w:val="99"/>
    <w:semiHidden/>
    <w:unhideWhenUsed/>
    <w:rsid w:val="006C04E7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2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728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ELECTROTECHNICAL COMMISSION</vt:lpstr>
    </vt:vector>
  </TitlesOfParts>
  <Company>IECEx</Company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ELECTROTECHNICAL COMMISSION</dc:title>
  <dc:subject/>
  <dc:creator>Agius</dc:creator>
  <cp:keywords/>
  <cp:lastModifiedBy>Mike Roy</cp:lastModifiedBy>
  <cp:revision>2</cp:revision>
  <cp:lastPrinted>2018-09-03T05:31:00Z</cp:lastPrinted>
  <dcterms:created xsi:type="dcterms:W3CDTF">2020-09-25T06:04:00Z</dcterms:created>
  <dcterms:modified xsi:type="dcterms:W3CDTF">2020-09-25T06:04:00Z</dcterms:modified>
</cp:coreProperties>
</file>