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46A9A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3E147C14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hAnsi="Arial"/>
          <w:b/>
          <w:color w:val="000000"/>
          <w:kern w:val="4"/>
          <w:sz w:val="24"/>
          <w:szCs w:val="20"/>
        </w:rPr>
        <w:t>INTERNATIONAL ELECTROTECHNICAL COMMISSION SYSTEM FOR CERTIFICATION TO STANDARDS RELATING TO EQUIPMENT FOR USE IN EXPLOSIVE ATMOSPHERES (IECEx SYSTEM)</w:t>
      </w:r>
    </w:p>
    <w:p w14:paraId="32E8D765" w14:textId="77777777" w:rsidR="000771DF" w:rsidRPr="000771DF" w:rsidRDefault="000771DF" w:rsidP="000771D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</w:rPr>
      </w:pPr>
    </w:p>
    <w:p w14:paraId="299C0626" w14:textId="6F7879D0" w:rsidR="000771DF" w:rsidRDefault="000771DF" w:rsidP="000771D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</w:rPr>
      </w:pPr>
      <w:r w:rsidRPr="000771DF">
        <w:rPr>
          <w:rFonts w:ascii="Arial" w:hAnsi="Arial" w:cs="Arial"/>
          <w:b/>
          <w:bCs/>
          <w:sz w:val="24"/>
        </w:rPr>
        <w:t xml:space="preserve">Circulated to: </w:t>
      </w:r>
      <w:proofErr w:type="spellStart"/>
      <w:r w:rsidRPr="000771DF">
        <w:rPr>
          <w:rFonts w:ascii="Arial" w:hAnsi="Arial" w:cs="Arial"/>
          <w:b/>
          <w:bCs/>
          <w:sz w:val="24"/>
        </w:rPr>
        <w:t>ExTAG</w:t>
      </w:r>
      <w:proofErr w:type="spellEnd"/>
      <w:r w:rsidRPr="000771DF">
        <w:rPr>
          <w:rFonts w:ascii="Arial" w:hAnsi="Arial" w:cs="Arial"/>
          <w:b/>
          <w:bCs/>
          <w:sz w:val="24"/>
        </w:rPr>
        <w:t xml:space="preserve"> – IECEx Testing and Assessment Group</w:t>
      </w:r>
    </w:p>
    <w:p w14:paraId="7BE6106D" w14:textId="6DE1882A" w:rsidR="00592AF1" w:rsidRPr="000771DF" w:rsidRDefault="00592AF1" w:rsidP="000771D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Report from the Convener of </w:t>
      </w:r>
      <w:proofErr w:type="spellStart"/>
      <w:r>
        <w:rPr>
          <w:rFonts w:ascii="Arial" w:hAnsi="Arial" w:cs="Arial"/>
          <w:b/>
          <w:bCs/>
          <w:sz w:val="24"/>
        </w:rPr>
        <w:t>ExTAG</w:t>
      </w:r>
      <w:proofErr w:type="spellEnd"/>
      <w:r>
        <w:rPr>
          <w:rFonts w:ascii="Arial" w:hAnsi="Arial" w:cs="Arial"/>
          <w:b/>
          <w:bCs/>
          <w:sz w:val="24"/>
        </w:rPr>
        <w:t xml:space="preserve"> WG6: </w:t>
      </w:r>
      <w:r w:rsidRPr="00592AF1">
        <w:rPr>
          <w:rFonts w:ascii="Arial" w:hAnsi="Arial" w:cs="Arial"/>
          <w:b/>
          <w:bCs/>
          <w:sz w:val="24"/>
        </w:rPr>
        <w:t>Rules of Procedure for testing at other locations</w:t>
      </w:r>
    </w:p>
    <w:p w14:paraId="056A7806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hAnsi="Arial"/>
          <w:noProof/>
          <w:sz w:val="24"/>
          <w:lang w:eastAsia="en-A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53F9D5" wp14:editId="36A42EC1">
                <wp:simplePos x="0" y="0"/>
                <wp:positionH relativeFrom="page">
                  <wp:align>center</wp:align>
                </wp:positionH>
                <wp:positionV relativeFrom="paragraph">
                  <wp:posOffset>163829</wp:posOffset>
                </wp:positionV>
                <wp:extent cx="5829300" cy="0"/>
                <wp:effectExtent l="0" t="1905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D7A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2.9pt" to="4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" strokecolor="blue" strokeweight="4.5pt">
                <v:stroke linestyle="thickThin"/>
                <w10:wrap anchorx="page"/>
              </v:line>
            </w:pict>
          </mc:Fallback>
        </mc:AlternateContent>
      </w:r>
    </w:p>
    <w:p w14:paraId="6DE8FB9D" w14:textId="5058EA8A" w:rsid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Report </w:t>
      </w:r>
      <w:r w:rsidR="00592AF1"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from </w:t>
      </w:r>
      <w:proofErr w:type="spellStart"/>
      <w:r w:rsidR="00592AF1">
        <w:rPr>
          <w:rFonts w:ascii="Arial" w:eastAsia="Times New Roman" w:hAnsi="Arial"/>
          <w:b/>
          <w:color w:val="000000"/>
          <w:kern w:val="4"/>
          <w:sz w:val="24"/>
          <w:szCs w:val="20"/>
        </w:rPr>
        <w:t>ExTAG</w:t>
      </w:r>
      <w:proofErr w:type="spellEnd"/>
      <w:r w:rsidR="00592AF1"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 WG6</w:t>
      </w:r>
    </w:p>
    <w:p w14:paraId="48BC702E" w14:textId="2695D672" w:rsidR="00592AF1" w:rsidRDefault="00592AF1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="005433FC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WG6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Last met during the 2019 IECEx Operational Meetings and reported </w:t>
      </w:r>
      <w:r w:rsidR="005433FC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its work and recommendations 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to the 2019 </w:t>
      </w:r>
      <w:proofErr w:type="spellStart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Dubai Meeting</w:t>
      </w:r>
      <w:r w:rsidR="0042754D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(re </w:t>
      </w:r>
      <w:proofErr w:type="spellStart"/>
      <w:r w:rsidR="0042754D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="0042754D">
        <w:rPr>
          <w:rFonts w:ascii="Arial" w:eastAsia="Times New Roman" w:hAnsi="Arial"/>
          <w:color w:val="000000" w:themeColor="text1"/>
          <w:kern w:val="4"/>
          <w:sz w:val="24"/>
          <w:szCs w:val="24"/>
        </w:rPr>
        <w:t>/554/R)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.</w:t>
      </w:r>
    </w:p>
    <w:p w14:paraId="28A4BA3A" w14:textId="77777777" w:rsidR="00592AF1" w:rsidRDefault="00592AF1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04583264" w14:textId="5D50A04A" w:rsidR="0090619B" w:rsidRDefault="00592AF1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Discussions and agreements arising from the 2019 IECEx Dubai meetings led to publication of Edition 3.1 of OD 024 </w:t>
      </w:r>
      <w:r w:rsidR="0090619B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in November 2019.  Changes included in Edition 3.1 mainly relate to </w:t>
      </w:r>
    </w:p>
    <w:p w14:paraId="61C86340" w14:textId="1ABBF804" w:rsidR="0090619B" w:rsidRDefault="0090619B" w:rsidP="0090619B">
      <w:pPr>
        <w:pStyle w:val="ListParagraph"/>
        <w:numPr>
          <w:ilvl w:val="0"/>
          <w:numId w:val="3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Inclusion of </w:t>
      </w:r>
      <w:r w:rsidR="00DB362A">
        <w:rPr>
          <w:rFonts w:ascii="Arial" w:eastAsia="Times New Roman" w:hAnsi="Arial"/>
          <w:color w:val="000000" w:themeColor="text1"/>
          <w:kern w:val="4"/>
          <w:sz w:val="24"/>
          <w:szCs w:val="24"/>
        </w:rPr>
        <w:t>a definition “</w:t>
      </w:r>
      <w:r w:rsidR="00DB362A" w:rsidRPr="0042754D">
        <w:rPr>
          <w:rFonts w:ascii="Arial" w:eastAsia="Times New Roman" w:hAnsi="Arial"/>
          <w:b/>
          <w:bCs/>
          <w:color w:val="000000" w:themeColor="text1"/>
          <w:kern w:val="4"/>
          <w:sz w:val="24"/>
          <w:szCs w:val="24"/>
        </w:rPr>
        <w:t>Test Program</w:t>
      </w:r>
      <w:r w:rsidR="00DB362A">
        <w:rPr>
          <w:rFonts w:ascii="Arial" w:eastAsia="Times New Roman" w:hAnsi="Arial"/>
          <w:color w:val="000000" w:themeColor="text1"/>
          <w:kern w:val="4"/>
          <w:sz w:val="24"/>
          <w:szCs w:val="24"/>
        </w:rPr>
        <w:t>”</w:t>
      </w:r>
    </w:p>
    <w:p w14:paraId="382664C8" w14:textId="2AD55CEE" w:rsidR="00DB362A" w:rsidRDefault="00DB362A" w:rsidP="0090619B">
      <w:pPr>
        <w:pStyle w:val="ListParagraph"/>
        <w:numPr>
          <w:ilvl w:val="0"/>
          <w:numId w:val="3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Clarification that an IECEx ATF (Additional Test Facility) do</w:t>
      </w:r>
      <w:r w:rsidR="0042754D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es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not fall under the rules of OD 024</w:t>
      </w:r>
    </w:p>
    <w:p w14:paraId="1298F92C" w14:textId="16BE5A03" w:rsidR="00DB362A" w:rsidRDefault="00DB362A" w:rsidP="0090619B">
      <w:pPr>
        <w:pStyle w:val="ListParagraph"/>
        <w:numPr>
          <w:ilvl w:val="0"/>
          <w:numId w:val="3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Updating of references, including reference to IECEE OD 2048 Utilization of customers Testing Facilities</w:t>
      </w:r>
      <w:r w:rsidR="000759EA">
        <w:rPr>
          <w:rFonts w:ascii="Arial" w:eastAsia="Times New Roman" w:hAnsi="Arial"/>
          <w:color w:val="000000" w:themeColor="text1"/>
          <w:kern w:val="4"/>
          <w:sz w:val="24"/>
          <w:szCs w:val="24"/>
        </w:rPr>
        <w:t>, that maybe taken into account during assessments of test facilities</w:t>
      </w:r>
    </w:p>
    <w:p w14:paraId="36F234F4" w14:textId="0001EFE0" w:rsidR="00DB362A" w:rsidRPr="0090619B" w:rsidRDefault="00DB362A" w:rsidP="0090619B">
      <w:pPr>
        <w:pStyle w:val="ListParagraph"/>
        <w:numPr>
          <w:ilvl w:val="0"/>
          <w:numId w:val="3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Expansion of Clause 6.7.3 </w:t>
      </w:r>
      <w:r w:rsidR="000759EA">
        <w:rPr>
          <w:rFonts w:ascii="Arial" w:eastAsia="Times New Roman" w:hAnsi="Arial"/>
          <w:color w:val="000000" w:themeColor="text1"/>
          <w:kern w:val="4"/>
          <w:sz w:val="24"/>
          <w:szCs w:val="24"/>
        </w:rPr>
        <w:t>“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Partially witnessed testing </w:t>
      </w:r>
      <w:r w:rsidR="000759EA">
        <w:rPr>
          <w:rFonts w:ascii="Arial" w:eastAsia="Times New Roman" w:hAnsi="Arial"/>
          <w:color w:val="000000" w:themeColor="text1"/>
          <w:kern w:val="4"/>
          <w:sz w:val="24"/>
          <w:szCs w:val="24"/>
        </w:rPr>
        <w:t>– general requirements”</w:t>
      </w:r>
    </w:p>
    <w:p w14:paraId="5F695DFC" w14:textId="068D4A13" w:rsidR="0090619B" w:rsidRDefault="0090619B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3CE356E4" w14:textId="77777777" w:rsidR="00182EA7" w:rsidRDefault="000759EA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In addition to agreeing to publish Edition 3.1 of OD 024, </w:t>
      </w:r>
      <w:r w:rsidR="00182EA7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the 2019 Dubai Meetings also agreed on tasking the Secretariat with the role of moving from an internal register of Test Facilities to an on-line version that is accessible to </w:t>
      </w:r>
      <w:proofErr w:type="spellStart"/>
      <w:r w:rsidR="00182EA7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ExCBs</w:t>
      </w:r>
      <w:proofErr w:type="spellEnd"/>
      <w:r w:rsidR="00182EA7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and </w:t>
      </w:r>
      <w:proofErr w:type="spellStart"/>
      <w:r w:rsidR="00182EA7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ExTLs</w:t>
      </w:r>
      <w:proofErr w:type="spellEnd"/>
      <w:r w:rsidR="00182EA7">
        <w:rPr>
          <w:rFonts w:ascii="Arial" w:eastAsia="Times New Roman" w:hAnsi="Arial"/>
          <w:color w:val="000000" w:themeColor="text1"/>
          <w:kern w:val="4"/>
          <w:sz w:val="24"/>
          <w:szCs w:val="24"/>
        </w:rPr>
        <w:t>.</w:t>
      </w:r>
    </w:p>
    <w:p w14:paraId="43933A05" w14:textId="77777777" w:rsidR="00182EA7" w:rsidRDefault="00182EA7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3EFC549A" w14:textId="71466DBC" w:rsidR="005433FC" w:rsidRDefault="00182EA7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The Secretariat is currently working with their IT to develop this provision with expected completion during Q4 of 2020. </w:t>
      </w:r>
      <w:r w:rsidR="005433FC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In line with this new IT feature, the Secretariat plans to prepare an administrative update to OD 024 that explains access to this on-line Register.</w:t>
      </w:r>
    </w:p>
    <w:p w14:paraId="35ECC4AD" w14:textId="5741F298" w:rsidR="005433FC" w:rsidRDefault="005433FC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18049194" w14:textId="7D5A5152" w:rsidR="005433FC" w:rsidRDefault="005433FC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Members are requested to note this report during the 2020 Remote </w:t>
      </w:r>
      <w:proofErr w:type="spellStart"/>
      <w:r w:rsidR="0042754D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="0042754D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meeting.</w:t>
      </w:r>
    </w:p>
    <w:p w14:paraId="4ED4F8C8" w14:textId="5B58F1D6" w:rsidR="005433FC" w:rsidRDefault="005433FC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73204CA3" w14:textId="080C9B2A" w:rsidR="000771DF" w:rsidRDefault="005433FC" w:rsidP="005433FC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Chris Agius - Convener </w:t>
      </w:r>
      <w:proofErr w:type="spellStart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WG6</w:t>
      </w:r>
    </w:p>
    <w:p w14:paraId="66A9572C" w14:textId="77777777" w:rsidR="00596139" w:rsidRDefault="00596139" w:rsidP="005433FC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7C77F493" w14:textId="77777777" w:rsidR="005433FC" w:rsidRPr="000771DF" w:rsidRDefault="005433FC" w:rsidP="005433FC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hAnsi="Arial" w:cs="Arial"/>
          <w:b/>
          <w:bCs/>
          <w:i/>
          <w:iCs/>
          <w:color w:val="0000FF"/>
        </w:rPr>
      </w:pPr>
    </w:p>
    <w:tbl>
      <w:tblPr>
        <w:tblW w:w="8516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0771DF" w:rsidRPr="000771DF" w14:paraId="16B87B04" w14:textId="77777777" w:rsidTr="000771DF">
        <w:trPr>
          <w:trHeight w:val="1725"/>
        </w:trPr>
        <w:tc>
          <w:tcPr>
            <w:tcW w:w="851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93C0881" w14:textId="77777777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  <w:u w:val="single"/>
              </w:rPr>
              <w:t>Address</w:t>
            </w:r>
            <w:r w:rsidRPr="000771DF">
              <w:rPr>
                <w:rFonts w:ascii="Arial" w:hAnsi="Arial" w:cs="Arial"/>
                <w:b/>
                <w:bCs/>
                <w:color w:val="0000FF"/>
              </w:rPr>
              <w:t>:</w:t>
            </w:r>
          </w:p>
          <w:p w14:paraId="2F1F0672" w14:textId="67608891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IECEx Secretariat</w:t>
            </w:r>
          </w:p>
          <w:p w14:paraId="54470520" w14:textId="77777777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Level 33 Australia Square</w:t>
            </w:r>
          </w:p>
          <w:p w14:paraId="439C81EE" w14:textId="7D641922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264 George Street</w:t>
            </w:r>
          </w:p>
          <w:p w14:paraId="0D01B495" w14:textId="3C56F487" w:rsidR="000771DF" w:rsidRPr="000771DF" w:rsidRDefault="000771DF" w:rsidP="005433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Sydney NSW 2000</w:t>
            </w:r>
            <w:r w:rsidR="005433FC">
              <w:rPr>
                <w:rFonts w:ascii="Arial" w:hAnsi="Arial" w:cs="Arial"/>
                <w:b/>
                <w:bCs/>
                <w:color w:val="0000FF"/>
              </w:rPr>
              <w:t xml:space="preserve">, </w:t>
            </w:r>
            <w:r w:rsidRPr="000771DF">
              <w:rPr>
                <w:rFonts w:ascii="Arial" w:hAnsi="Arial" w:cs="Arial"/>
                <w:b/>
                <w:bCs/>
                <w:color w:val="0000FF"/>
              </w:rPr>
              <w:t>Australia</w:t>
            </w:r>
          </w:p>
          <w:p w14:paraId="5D3501DB" w14:textId="7041C3C0" w:rsidR="000771DF" w:rsidRPr="000771DF" w:rsidRDefault="000771DF" w:rsidP="005433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 xml:space="preserve">Web: </w:t>
            </w:r>
            <w:hyperlink r:id="rId7" w:history="1">
              <w:r w:rsidRPr="000771DF">
                <w:rPr>
                  <w:rFonts w:ascii="Arial" w:hAnsi="Arial" w:cs="Arial"/>
                  <w:b/>
                  <w:bCs/>
                  <w:color w:val="0563C1"/>
                  <w:u w:val="single"/>
                </w:rPr>
                <w:t>www.iecex.com</w:t>
              </w:r>
            </w:hyperlink>
          </w:p>
        </w:tc>
      </w:tr>
    </w:tbl>
    <w:p w14:paraId="02AAEBFB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sectPr w:rsidR="000771DF" w:rsidSect="005433FC">
      <w:headerReference w:type="default" r:id="rId8"/>
      <w:pgSz w:w="11906" w:h="16838"/>
      <w:pgMar w:top="567" w:right="1440" w:bottom="14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33252" w14:textId="77777777" w:rsidR="00AA1365" w:rsidRDefault="00AA1365" w:rsidP="00AA1365">
      <w:pPr>
        <w:spacing w:after="0" w:line="240" w:lineRule="auto"/>
      </w:pPr>
      <w:r>
        <w:separator/>
      </w:r>
    </w:p>
  </w:endnote>
  <w:endnote w:type="continuationSeparator" w:id="0">
    <w:p w14:paraId="5B33E800" w14:textId="77777777" w:rsidR="00AA1365" w:rsidRDefault="00AA1365" w:rsidP="00AA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3A8F0" w14:textId="77777777" w:rsidR="00AA1365" w:rsidRDefault="00AA1365" w:rsidP="00AA1365">
      <w:pPr>
        <w:spacing w:after="0" w:line="240" w:lineRule="auto"/>
      </w:pPr>
      <w:r>
        <w:separator/>
      </w:r>
    </w:p>
  </w:footnote>
  <w:footnote w:type="continuationSeparator" w:id="0">
    <w:p w14:paraId="3B83B77A" w14:textId="77777777" w:rsidR="00AA1365" w:rsidRDefault="00AA1365" w:rsidP="00AA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EF65" w14:textId="77777777" w:rsidR="000771DF" w:rsidRDefault="00AA1365" w:rsidP="00AA1365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AU"/>
      </w:rPr>
      <w:drawing>
        <wp:inline distT="0" distB="0" distL="0" distR="0" wp14:anchorId="6BA5E909" wp14:editId="56E9F900">
          <wp:extent cx="1295400" cy="5524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21C6">
      <w:rPr>
        <w:rFonts w:ascii="Arial" w:hAnsi="Arial" w:cs="Arial"/>
        <w:b/>
      </w:rPr>
      <w:t xml:space="preserve"> </w:t>
    </w:r>
  </w:p>
  <w:p w14:paraId="5CC3AA87" w14:textId="0C91F1D7" w:rsidR="00AA1365" w:rsidRDefault="000771DF" w:rsidP="000771DF">
    <w:pPr>
      <w:pStyle w:val="Header"/>
      <w:jc w:val="right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ExTAG</w:t>
    </w:r>
    <w:proofErr w:type="spellEnd"/>
    <w:r>
      <w:rPr>
        <w:rFonts w:ascii="Arial" w:hAnsi="Arial" w:cs="Arial"/>
        <w:b/>
      </w:rPr>
      <w:t>/61</w:t>
    </w:r>
    <w:r w:rsidR="00FC5E6A">
      <w:rPr>
        <w:rFonts w:ascii="Arial" w:hAnsi="Arial" w:cs="Arial"/>
        <w:b/>
      </w:rPr>
      <w:t>5</w:t>
    </w:r>
    <w:r>
      <w:rPr>
        <w:rFonts w:ascii="Arial" w:hAnsi="Arial" w:cs="Arial"/>
        <w:b/>
      </w:rPr>
      <w:t>/R</w:t>
    </w:r>
  </w:p>
  <w:p w14:paraId="48669799" w14:textId="05380036" w:rsidR="000771DF" w:rsidRDefault="000771DF" w:rsidP="000771D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August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9723E"/>
    <w:multiLevelType w:val="hybridMultilevel"/>
    <w:tmpl w:val="523089A4"/>
    <w:lvl w:ilvl="0" w:tplc="7D606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BF7F25"/>
    <w:multiLevelType w:val="hybridMultilevel"/>
    <w:tmpl w:val="523089A4"/>
    <w:lvl w:ilvl="0" w:tplc="7D606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850BBA"/>
    <w:multiLevelType w:val="hybridMultilevel"/>
    <w:tmpl w:val="42E24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26"/>
    <w:rsid w:val="00003D36"/>
    <w:rsid w:val="00025E87"/>
    <w:rsid w:val="00056522"/>
    <w:rsid w:val="000759EA"/>
    <w:rsid w:val="000771DF"/>
    <w:rsid w:val="00095B69"/>
    <w:rsid w:val="00111D74"/>
    <w:rsid w:val="001362BD"/>
    <w:rsid w:val="001407BE"/>
    <w:rsid w:val="00144D73"/>
    <w:rsid w:val="00182EA7"/>
    <w:rsid w:val="00183B70"/>
    <w:rsid w:val="001A6C6D"/>
    <w:rsid w:val="001E55A8"/>
    <w:rsid w:val="001E59F7"/>
    <w:rsid w:val="00215A12"/>
    <w:rsid w:val="00271DB5"/>
    <w:rsid w:val="00281F46"/>
    <w:rsid w:val="002C115E"/>
    <w:rsid w:val="002E44FF"/>
    <w:rsid w:val="002F5B68"/>
    <w:rsid w:val="00313693"/>
    <w:rsid w:val="00320D39"/>
    <w:rsid w:val="00330506"/>
    <w:rsid w:val="00332D82"/>
    <w:rsid w:val="00332E74"/>
    <w:rsid w:val="00345363"/>
    <w:rsid w:val="00363DDF"/>
    <w:rsid w:val="003C43BF"/>
    <w:rsid w:val="003D21C6"/>
    <w:rsid w:val="003D4ABF"/>
    <w:rsid w:val="0042352E"/>
    <w:rsid w:val="004252B7"/>
    <w:rsid w:val="0042754D"/>
    <w:rsid w:val="00433C6C"/>
    <w:rsid w:val="00437388"/>
    <w:rsid w:val="00446BBB"/>
    <w:rsid w:val="00462E8C"/>
    <w:rsid w:val="0046681C"/>
    <w:rsid w:val="0046698E"/>
    <w:rsid w:val="004869FB"/>
    <w:rsid w:val="004A63FF"/>
    <w:rsid w:val="004B0408"/>
    <w:rsid w:val="004B1E84"/>
    <w:rsid w:val="004E4026"/>
    <w:rsid w:val="004E5AED"/>
    <w:rsid w:val="0053308B"/>
    <w:rsid w:val="005433FC"/>
    <w:rsid w:val="00546152"/>
    <w:rsid w:val="00561956"/>
    <w:rsid w:val="00562650"/>
    <w:rsid w:val="00592AF1"/>
    <w:rsid w:val="00592DB6"/>
    <w:rsid w:val="00596139"/>
    <w:rsid w:val="005C16BF"/>
    <w:rsid w:val="005D6C57"/>
    <w:rsid w:val="0065473C"/>
    <w:rsid w:val="00664D62"/>
    <w:rsid w:val="00675636"/>
    <w:rsid w:val="006859C5"/>
    <w:rsid w:val="006A71C8"/>
    <w:rsid w:val="006B093A"/>
    <w:rsid w:val="006B5C40"/>
    <w:rsid w:val="006D56EA"/>
    <w:rsid w:val="00700A5F"/>
    <w:rsid w:val="007247BE"/>
    <w:rsid w:val="00732218"/>
    <w:rsid w:val="00770C01"/>
    <w:rsid w:val="00784982"/>
    <w:rsid w:val="007873F2"/>
    <w:rsid w:val="007A4132"/>
    <w:rsid w:val="007B177E"/>
    <w:rsid w:val="007E2C07"/>
    <w:rsid w:val="008210C8"/>
    <w:rsid w:val="00822921"/>
    <w:rsid w:val="00876222"/>
    <w:rsid w:val="00883FF2"/>
    <w:rsid w:val="009006D4"/>
    <w:rsid w:val="00904836"/>
    <w:rsid w:val="0090600E"/>
    <w:rsid w:val="009060C9"/>
    <w:rsid w:val="0090619B"/>
    <w:rsid w:val="00913559"/>
    <w:rsid w:val="00927784"/>
    <w:rsid w:val="00942028"/>
    <w:rsid w:val="00997DC7"/>
    <w:rsid w:val="009C0D40"/>
    <w:rsid w:val="00A13498"/>
    <w:rsid w:val="00A37E41"/>
    <w:rsid w:val="00A6730D"/>
    <w:rsid w:val="00AA1365"/>
    <w:rsid w:val="00AB099F"/>
    <w:rsid w:val="00AE474E"/>
    <w:rsid w:val="00AE5AEB"/>
    <w:rsid w:val="00AF4E85"/>
    <w:rsid w:val="00B03D8F"/>
    <w:rsid w:val="00B25984"/>
    <w:rsid w:val="00B26016"/>
    <w:rsid w:val="00B26967"/>
    <w:rsid w:val="00B26B74"/>
    <w:rsid w:val="00B3333A"/>
    <w:rsid w:val="00B36D13"/>
    <w:rsid w:val="00B47144"/>
    <w:rsid w:val="00B502FD"/>
    <w:rsid w:val="00B52379"/>
    <w:rsid w:val="00B55245"/>
    <w:rsid w:val="00B57C45"/>
    <w:rsid w:val="00B6181E"/>
    <w:rsid w:val="00B63E23"/>
    <w:rsid w:val="00B93708"/>
    <w:rsid w:val="00B93B63"/>
    <w:rsid w:val="00BA33D6"/>
    <w:rsid w:val="00BB1B36"/>
    <w:rsid w:val="00C3322A"/>
    <w:rsid w:val="00C53B4D"/>
    <w:rsid w:val="00C67716"/>
    <w:rsid w:val="00C749E3"/>
    <w:rsid w:val="00CD5013"/>
    <w:rsid w:val="00CE07A7"/>
    <w:rsid w:val="00CE6485"/>
    <w:rsid w:val="00D260AB"/>
    <w:rsid w:val="00D66432"/>
    <w:rsid w:val="00D84229"/>
    <w:rsid w:val="00D84D77"/>
    <w:rsid w:val="00D85295"/>
    <w:rsid w:val="00DA1A9B"/>
    <w:rsid w:val="00DA1E4A"/>
    <w:rsid w:val="00DB362A"/>
    <w:rsid w:val="00DE3738"/>
    <w:rsid w:val="00DF3CCC"/>
    <w:rsid w:val="00E1269E"/>
    <w:rsid w:val="00E27A87"/>
    <w:rsid w:val="00E602CD"/>
    <w:rsid w:val="00EB3BA5"/>
    <w:rsid w:val="00ED53E7"/>
    <w:rsid w:val="00F24E0A"/>
    <w:rsid w:val="00F51DEF"/>
    <w:rsid w:val="00F72A0B"/>
    <w:rsid w:val="00F74A39"/>
    <w:rsid w:val="00FB17BE"/>
    <w:rsid w:val="00FB3DA2"/>
    <w:rsid w:val="00FC5E6A"/>
    <w:rsid w:val="00FE4B4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BA53C9A"/>
  <w15:chartTrackingRefBased/>
  <w15:docId w15:val="{541E84BB-2824-449C-8F27-B4BB5E25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26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026"/>
    <w:pPr>
      <w:ind w:left="720"/>
      <w:contextualSpacing/>
    </w:pPr>
  </w:style>
  <w:style w:type="character" w:styleId="Hyperlink">
    <w:name w:val="Hyperlink"/>
    <w:uiPriority w:val="99"/>
    <w:unhideWhenUsed/>
    <w:rsid w:val="00FB17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5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5"/>
    <w:rPr>
      <w:rFonts w:ascii="Calibri" w:eastAsia="SimSu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1E59F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59F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4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hristine.kane\AppData\Local\Microsoft\Windows\Temporary%20Internet%20Files\christine.kane\AppData\Local\Microsoft\Windows\Chris\AppData\christine.kane\AppData\Local\Microsoft\Windows\jugauthier\AppData\Local\Temp\notesC9812B\www.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 Agius</cp:lastModifiedBy>
  <cp:revision>4</cp:revision>
  <dcterms:created xsi:type="dcterms:W3CDTF">2020-09-03T02:49:00Z</dcterms:created>
  <dcterms:modified xsi:type="dcterms:W3CDTF">2020-09-03T03:28:00Z</dcterms:modified>
</cp:coreProperties>
</file>